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keepNext w:val="true"/>
        <w:keepLines/>
        <w:spacing w:before="480" w:after="240"/>
        <w:jc w:val="center"/>
        <w:rPr/>
      </w:pPr>
      <w:r>
        <w:rPr/>
        <w:t>Lithium acetate/PEG transformation of snowflake yeast</w:t>
      </w:r>
    </w:p>
    <w:p>
      <w:pPr>
        <w:pStyle w:val="FirstParagraph"/>
        <w:rPr/>
      </w:pPr>
      <w:r>
        <w:rPr>
          <w:i/>
          <w:iCs/>
        </w:rPr>
        <w:t>Adapted from the lab compendium Snowflake Yeast Protocols — Ratcliff Lab / MuLTEE (V</w:t>
      </w:r>
      <w:r>
        <w:rPr>
          <w:i/>
          <w:iCs/>
        </w:rPr>
        <w:t>3</w:t>
      </w:r>
      <w:r>
        <w:rPr>
          <w:i/>
          <w:iCs/>
        </w:rPr>
        <w:t>).</w:t>
      </w:r>
    </w:p>
    <w:p>
      <w:pPr>
        <w:pStyle w:val="Heading2"/>
        <w:rPr/>
      </w:pPr>
      <w:r>
        <w:rPr/>
        <w:t>Reagents (per sample)</w:t>
      </w:r>
    </w:p>
    <w:tbl>
      <w:tblPr>
        <w:tblStyle w:val="Table"/>
        <w:tblW w:w="4755" w:type="dxa"/>
        <w:jc w:val="left"/>
        <w:tblInd w:w="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20" w:noHBand="0" w:noVBand="0" w:firstColumn="0" w:lastRow="0" w:lastColumn="0" w:firstRow="1"/>
      </w:tblPr>
      <w:tblGrid>
        <w:gridCol w:w="3600"/>
        <w:gridCol w:w="1155"/>
      </w:tblGrid>
      <w:tr>
        <w:trPr>
          <w:tblHeader w:val="true"/>
        </w:trPr>
        <w:tc>
          <w:tcPr>
            <w:tcW w:w="3600" w:type="dxa"/>
            <w:tcBorders>
              <w:bottom w:val="single" w:sz="6" w:space="0" w:color="000000"/>
            </w:tcBorders>
            <w:vAlign w:val="bottom"/>
          </w:tcPr>
          <w:p>
            <w:pPr>
              <w:pStyle w:val="Compact"/>
              <w:widowControl/>
              <w:spacing w:before="36" w:after="36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en-US" w:eastAsia="en-US" w:bidi="ar-SA"/>
              </w:rPr>
              <w:t>Reagent</w:t>
            </w:r>
          </w:p>
        </w:tc>
        <w:tc>
          <w:tcPr>
            <w:tcW w:w="1155" w:type="dxa"/>
            <w:tcBorders>
              <w:bottom w:val="single" w:sz="6" w:space="0" w:color="000000"/>
            </w:tcBorders>
            <w:vAlign w:val="bottom"/>
          </w:tcPr>
          <w:p>
            <w:pPr>
              <w:pStyle w:val="Compact"/>
              <w:widowControl/>
              <w:spacing w:before="36" w:after="36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en-US" w:eastAsia="en-US" w:bidi="ar-SA"/>
              </w:rPr>
              <w:t>Volume</w:t>
            </w:r>
          </w:p>
        </w:tc>
      </w:tr>
      <w:tr>
        <w:trPr/>
        <w:tc>
          <w:tcPr>
            <w:tcW w:w="3600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en-US" w:eastAsia="en-US" w:bidi="ar-SA"/>
              </w:rPr>
              <w:t>PEG (50% w/w)</w:t>
            </w:r>
          </w:p>
        </w:tc>
        <w:tc>
          <w:tcPr>
            <w:tcW w:w="115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en-US" w:eastAsia="en-US" w:bidi="ar-SA"/>
              </w:rPr>
              <w:t>2</w:t>
            </w:r>
            <w:r>
              <w:rPr>
                <w:rFonts w:eastAsia="Cambria" w:cs=""/>
                <w:kern w:val="0"/>
                <w:sz w:val="24"/>
                <w:szCs w:val="24"/>
                <w:lang w:val="en-US" w:eastAsia="en-US" w:bidi="ar-SA"/>
              </w:rPr>
              <w:t>4</w:t>
            </w:r>
            <w:r>
              <w:rPr>
                <w:rFonts w:eastAsia="Cambria" w:cs=""/>
                <w:kern w:val="0"/>
                <w:sz w:val="24"/>
                <w:szCs w:val="24"/>
                <w:lang w:val="en-US" w:eastAsia="en-US" w:bidi="ar-SA"/>
              </w:rPr>
              <w:t>0 μL</w:t>
            </w:r>
          </w:p>
        </w:tc>
      </w:tr>
      <w:tr>
        <w:trPr/>
        <w:tc>
          <w:tcPr>
            <w:tcW w:w="3600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en-US" w:eastAsia="en-US" w:bidi="ar-SA"/>
              </w:rPr>
              <w:t>LiOAc (1 M)</w:t>
            </w:r>
          </w:p>
        </w:tc>
        <w:tc>
          <w:tcPr>
            <w:tcW w:w="115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en-US" w:eastAsia="en-US" w:bidi="ar-SA"/>
              </w:rPr>
              <w:t>36 μL</w:t>
            </w:r>
          </w:p>
        </w:tc>
      </w:tr>
      <w:tr>
        <w:trPr/>
        <w:tc>
          <w:tcPr>
            <w:tcW w:w="3600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en-US" w:eastAsia="en-US" w:bidi="ar-SA"/>
              </w:rPr>
              <w:t>ssDNA (2 mg/mL, freshly boiled)</w:t>
            </w:r>
          </w:p>
        </w:tc>
        <w:tc>
          <w:tcPr>
            <w:tcW w:w="115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en-US" w:eastAsia="en-US" w:bidi="ar-SA"/>
              </w:rPr>
              <w:t>50 μL</w:t>
            </w:r>
          </w:p>
        </w:tc>
      </w:tr>
      <w:tr>
        <w:trPr/>
        <w:tc>
          <w:tcPr>
            <w:tcW w:w="3600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en-US" w:eastAsia="en-US" w:bidi="ar-SA"/>
              </w:rPr>
              <w:t>Digested plasmid/DNA</w:t>
            </w:r>
          </w:p>
        </w:tc>
        <w:tc>
          <w:tcPr>
            <w:tcW w:w="115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en-US" w:eastAsia="en-US" w:bidi="ar-SA"/>
              </w:rPr>
              <w:t>34</w:t>
            </w:r>
            <w:r>
              <w:rPr>
                <w:rFonts w:eastAsia="Cambria" w:cs=""/>
                <w:kern w:val="0"/>
                <w:sz w:val="24"/>
                <w:szCs w:val="24"/>
                <w:lang w:val="en-US" w:eastAsia="en-US" w:bidi="ar-SA"/>
              </w:rPr>
              <w:t xml:space="preserve"> μL</w:t>
            </w:r>
          </w:p>
        </w:tc>
      </w:tr>
    </w:tbl>
    <w:p>
      <w:pPr>
        <w:pStyle w:val="Heading2"/>
        <w:rPr/>
      </w:pPr>
      <w:r>
        <w:rPr/>
        <w:t>Pre-culture</w:t>
      </w:r>
    </w:p>
    <w:p>
      <w:pPr>
        <w:pStyle w:val="Compact"/>
        <w:numPr>
          <w:ilvl w:val="0"/>
          <w:numId w:val="10"/>
        </w:numPr>
        <w:rPr/>
      </w:pPr>
      <w:r>
        <w:rPr/>
        <w:t>Inoculate 2 mL from an overnight culture into 10 mL fresh growth medium.</w:t>
      </w:r>
    </w:p>
    <w:p>
      <w:pPr>
        <w:pStyle w:val="Compact"/>
        <w:numPr>
          <w:ilvl w:val="0"/>
          <w:numId w:val="1"/>
        </w:numPr>
        <w:rPr/>
      </w:pPr>
      <w:r>
        <w:rPr/>
        <w:t>Grow the pre-culture for 3 hours.</w:t>
      </w:r>
    </w:p>
    <w:p>
      <w:pPr>
        <w:pStyle w:val="FirstParagraph"/>
        <w:rPr/>
      </w:pPr>
      <w:r>
        <w:rPr>
          <w:i/>
          <w:iCs/>
        </w:rPr>
        <w:t>Alternative: inoculate 1 mL from an overnight culture and grow for 4 hours instead of steps 1–2.</w:t>
      </w:r>
    </w:p>
    <w:p>
      <w:pPr>
        <w:pStyle w:val="Heading2"/>
        <w:rPr/>
      </w:pPr>
      <w:bookmarkStart w:id="0" w:name="cell-prep"/>
      <w:r>
        <w:rPr/>
        <w:t>Cell prep</w:t>
      </w:r>
    </w:p>
    <w:p>
      <w:pPr>
        <w:pStyle w:val="Compact"/>
        <w:numPr>
          <w:ilvl w:val="0"/>
          <w:numId w:val="11"/>
        </w:numPr>
        <w:rPr/>
      </w:pPr>
      <w:r>
        <w:rPr/>
        <w:t>Transfer 1 mL of pre-culture into a labeled 1.5 mL tube (one tube per line/population). Vortex briefly before use.</w:t>
      </w:r>
    </w:p>
    <w:p>
      <w:pPr>
        <w:pStyle w:val="Compact"/>
        <w:numPr>
          <w:ilvl w:val="0"/>
          <w:numId w:val="1"/>
        </w:numPr>
        <w:rPr/>
      </w:pPr>
      <w:r>
        <w:rPr/>
        <w:t>Centrifuge at 8,000 rpm for 1 min.</w:t>
      </w:r>
    </w:p>
    <w:p>
      <w:pPr>
        <w:pStyle w:val="Compact"/>
        <w:numPr>
          <w:ilvl w:val="0"/>
          <w:numId w:val="1"/>
        </w:numPr>
        <w:rPr/>
      </w:pPr>
      <w:r>
        <w:rPr/>
        <w:t>Confirm pellet volume reaches approximately the 100 μL mark (minimum halfway to 100 μL). If insufficient, add another 1 mL of culture to the same tube and re-spin.</w:t>
      </w:r>
    </w:p>
    <w:p>
      <w:pPr>
        <w:pStyle w:val="Compact"/>
        <w:numPr>
          <w:ilvl w:val="0"/>
          <w:numId w:val="1"/>
        </w:numPr>
        <w:rPr/>
      </w:pPr>
      <w:r>
        <w:rPr/>
        <w:t>Remove supernatant without disturbing the pellet.</w:t>
      </w:r>
    </w:p>
    <w:p>
      <w:pPr>
        <w:pStyle w:val="Compact"/>
        <w:numPr>
          <w:ilvl w:val="0"/>
          <w:numId w:val="1"/>
        </w:numPr>
        <w:rPr/>
      </w:pPr>
      <w:r>
        <w:rPr/>
        <w:t>Add 100 μL water and pipette up and down to break up clusters until the mixture is evenly suspended (light cream color, no visible individual colonies). Later-generation clusters require more vigorous pipetting.</w:t>
      </w:r>
    </w:p>
    <w:p>
      <w:pPr>
        <w:pStyle w:val="Compact"/>
        <w:numPr>
          <w:ilvl w:val="0"/>
          <w:numId w:val="1"/>
        </w:numPr>
        <w:rPr/>
      </w:pPr>
      <w:r>
        <w:rPr/>
        <w:t>Add 900 μL water (1 mL total), centrifuge (8,000 rpm, 1 min), remove supernatant.</w:t>
      </w:r>
    </w:p>
    <w:p>
      <w:pPr>
        <w:pStyle w:val="Compact"/>
        <w:numPr>
          <w:ilvl w:val="0"/>
          <w:numId w:val="1"/>
        </w:numPr>
        <w:rPr/>
      </w:pPr>
      <w:r>
        <w:rPr/>
        <w:t>Wash with 1 mL water a second time (centrifuge, discard supernatant).</w:t>
      </w:r>
    </w:p>
    <w:p>
      <w:pPr>
        <w:pStyle w:val="Compact"/>
        <w:numPr>
          <w:ilvl w:val="0"/>
          <w:numId w:val="1"/>
        </w:numPr>
        <w:rPr/>
      </w:pPr>
      <w:r>
        <w:rPr/>
        <w:t>Incubate</w:t>
      </w:r>
      <w:r>
        <w:rPr/>
        <w:t xml:space="preserve"> with 1 mL 0.1 M LiOAc (dilute stock, not the 1 M stock used in [[&gt; Assembling the transformation mix]]) </w:t>
      </w:r>
      <w:r>
        <w:rPr/>
        <w:t>at 30°C for 1 hour</w:t>
      </w:r>
      <w:r>
        <w:rPr/>
        <w:t>.</w:t>
      </w:r>
    </w:p>
    <w:p>
      <w:pPr>
        <w:pStyle w:val="Compact"/>
        <w:numPr>
          <w:ilvl w:val="0"/>
          <w:numId w:val="1"/>
        </w:numPr>
        <w:rPr/>
      </w:pPr>
      <w:r>
        <w:rPr/>
        <w:t xml:space="preserve">Centrifuge and remove 900 μL  of supernatant </w:t>
      </w:r>
      <w:r>
        <w:rPr/>
        <w:t>, pipetting to break up clusters.</w:t>
      </w:r>
    </w:p>
    <w:p>
      <w:pPr>
        <w:pStyle w:val="Compact"/>
        <w:numPr>
          <w:ilvl w:val="0"/>
          <w:numId w:val="1"/>
        </w:numPr>
        <w:rPr/>
      </w:pPr>
      <w:bookmarkStart w:id="1" w:name="cell-prep"/>
      <w:r>
        <w:rPr/>
        <w:t>Centrifuge and remove supernatant thoroughly.</w:t>
      </w:r>
      <w:bookmarkEnd w:id="1"/>
    </w:p>
    <w:p>
      <w:pPr>
        <w:pStyle w:val="Heading2"/>
        <w:rPr/>
      </w:pPr>
      <w:bookmarkStart w:id="2" w:name="ssdna-prep-concurrent-with-lioac-washes"/>
      <w:r>
        <w:rPr/>
        <w:t>ssDNA prep (concurrent with LiOAc washes)</w:t>
      </w:r>
    </w:p>
    <w:p>
      <w:pPr>
        <w:pStyle w:val="Compact"/>
        <w:numPr>
          <w:ilvl w:val="0"/>
          <w:numId w:val="12"/>
        </w:numPr>
        <w:rPr/>
      </w:pPr>
      <w:r>
        <w:rPr/>
        <w:t>Heat salmon sperm DNA (ssDNA) to 95 °C for 5 min.</w:t>
      </w:r>
    </w:p>
    <w:p>
      <w:pPr>
        <w:pStyle w:val="Compact"/>
        <w:numPr>
          <w:ilvl w:val="0"/>
          <w:numId w:val="1"/>
        </w:numPr>
        <w:rPr/>
      </w:pPr>
      <w:r>
        <w:rPr/>
        <w:t>Set heat block to 42 °C immediately after.</w:t>
      </w:r>
    </w:p>
    <w:p>
      <w:pPr>
        <w:pStyle w:val="Compact"/>
        <w:numPr>
          <w:ilvl w:val="0"/>
          <w:numId w:val="1"/>
        </w:numPr>
        <w:rPr/>
      </w:pPr>
      <w:r>
        <w:rPr/>
        <w:t>Mark the ssDNA tube each time it is boiled; do not reboil the same aliquot more than 3–4 times.</w:t>
      </w:r>
    </w:p>
    <w:p>
      <w:pPr>
        <w:pStyle w:val="Compact"/>
        <w:numPr>
          <w:ilvl w:val="0"/>
          <w:numId w:val="1"/>
        </w:numPr>
        <w:rPr/>
      </w:pPr>
      <w:r>
        <w:rPr/>
        <w:t>Recover boiled ssDNA on ice quickly before using at room temperature</w:t>
      </w:r>
    </w:p>
    <w:p>
      <w:pPr>
        <w:pStyle w:val="Compact"/>
        <w:numPr>
          <w:ilvl w:val="0"/>
          <w:numId w:val="1"/>
        </w:numPr>
        <w:rPr/>
      </w:pPr>
      <w:bookmarkStart w:id="3" w:name="ssdna-prep-concurrent-with-lioac-washes"/>
      <w:r>
        <w:rPr/>
        <w:t>Use ssDNA within ~30 min of boiling.</w:t>
      </w:r>
      <w:bookmarkEnd w:id="3"/>
    </w:p>
    <w:p>
      <w:pPr>
        <w:pStyle w:val="Heading2"/>
        <w:rPr/>
      </w:pPr>
      <w:bookmarkStart w:id="4" w:name="assembling-the-transformation-mix"/>
      <w:r>
        <w:rPr/>
        <w:t>Assembling the transformation mix</w:t>
      </w:r>
    </w:p>
    <w:p>
      <w:pPr>
        <w:pStyle w:val="FirstParagraph"/>
        <w:rPr/>
      </w:pPr>
      <w:r>
        <w:rPr/>
        <w:t>Add to each cell pellet, in order:</w:t>
      </w:r>
    </w:p>
    <w:p>
      <w:pPr>
        <w:pStyle w:val="Compact"/>
        <w:numPr>
          <w:ilvl w:val="0"/>
          <w:numId w:val="13"/>
        </w:numPr>
        <w:rPr/>
      </w:pPr>
      <w:r>
        <w:rPr>
          <w:b/>
          <w:bCs/>
        </w:rPr>
        <w:t>2</w:t>
      </w:r>
      <w:r>
        <w:rPr>
          <w:b/>
          <w:bCs/>
        </w:rPr>
        <w:t>4</w:t>
      </w:r>
      <w:r>
        <w:rPr>
          <w:b/>
          <w:bCs/>
        </w:rPr>
        <w:t>0 μL PEG (50% w/w)</w:t>
      </w:r>
      <w:r>
        <w:rPr/>
        <w:t xml:space="preserve"> — pipette slowly due to viscosity.</w:t>
      </w:r>
    </w:p>
    <w:p>
      <w:pPr>
        <w:pStyle w:val="Compact"/>
        <w:numPr>
          <w:ilvl w:val="0"/>
          <w:numId w:val="1"/>
        </w:numPr>
        <w:rPr/>
      </w:pPr>
      <w:r>
        <w:rPr>
          <w:b/>
          <w:bCs/>
        </w:rPr>
        <w:t>36 μL 1 M LiOAc</w:t>
      </w:r>
      <w:r>
        <w:rPr/>
        <w:t xml:space="preserve"> — mix/swirl until uniformly cloudy.</w:t>
      </w:r>
    </w:p>
    <w:p>
      <w:pPr>
        <w:pStyle w:val="Compact"/>
        <w:numPr>
          <w:ilvl w:val="1"/>
          <w:numId w:val="5"/>
        </w:numPr>
        <w:rPr/>
      </w:pPr>
      <w:r>
        <w:rPr/>
        <w:t>Note specialized mixing technique:</w:t>
      </w:r>
    </w:p>
    <w:p>
      <w:pPr>
        <w:pStyle w:val="Compact"/>
        <w:numPr>
          <w:ilvl w:val="2"/>
          <w:numId w:val="5"/>
        </w:numPr>
        <w:rPr/>
      </w:pPr>
      <w:r>
        <w:rPr/>
        <w:t>Pipette up cells from bottom of solution and release at the top.</w:t>
      </w:r>
    </w:p>
    <w:p>
      <w:pPr>
        <w:pStyle w:val="Compact"/>
        <w:numPr>
          <w:ilvl w:val="2"/>
          <w:numId w:val="5"/>
        </w:numPr>
        <w:rPr/>
      </w:pPr>
      <w:r>
        <w:rPr/>
        <w:t>Swirl pipette around the sides of the tube on the way back down to the bottom to mix.</w:t>
      </w:r>
    </w:p>
    <w:p>
      <w:pPr>
        <w:pStyle w:val="Compact"/>
        <w:numPr>
          <w:ilvl w:val="2"/>
          <w:numId w:val="5"/>
        </w:numPr>
        <w:rPr/>
      </w:pPr>
      <w:r>
        <w:rPr/>
        <w:t>Repeat until large clusters crushed and solution uniform.</w:t>
      </w:r>
    </w:p>
    <w:p>
      <w:pPr>
        <w:pStyle w:val="Compact"/>
        <w:numPr>
          <w:ilvl w:val="0"/>
          <w:numId w:val="1"/>
        </w:numPr>
        <w:rPr/>
      </w:pPr>
      <w:r>
        <w:rPr>
          <w:b/>
          <w:bCs/>
        </w:rPr>
        <w:t>50 μL freshly boiled ssDNA</w:t>
      </w:r>
      <w:r>
        <w:rPr/>
        <w:t>.</w:t>
      </w:r>
    </w:p>
    <w:p>
      <w:pPr>
        <w:pStyle w:val="Compact"/>
        <w:numPr>
          <w:ilvl w:val="0"/>
          <w:numId w:val="1"/>
        </w:numPr>
        <w:rPr/>
      </w:pPr>
      <w:r>
        <w:rPr>
          <w:b/>
          <w:bCs/>
        </w:rPr>
        <w:t>34</w:t>
      </w:r>
      <w:r>
        <w:rPr>
          <w:b/>
          <w:bCs/>
        </w:rPr>
        <w:t xml:space="preserve"> μL DNA solution</w:t>
      </w:r>
      <w:r>
        <w:rPr/>
        <w:t xml:space="preserve"> (plasmid, PCR product, etc.).</w:t>
      </w:r>
      <w:bookmarkEnd w:id="4"/>
    </w:p>
    <w:p>
      <w:pPr>
        <w:pStyle w:val="Compact"/>
        <w:numPr>
          <w:ilvl w:val="2"/>
          <w:numId w:val="8"/>
        </w:numPr>
        <w:rPr/>
      </w:pPr>
      <w:r>
        <w:rPr/>
        <w:t xml:space="preserve">Swirl pipette around the sides of the tube on the way back down to the bottom to mix. </w:t>
      </w:r>
    </w:p>
    <w:p>
      <w:pPr>
        <w:pStyle w:val="Compact"/>
        <w:numPr>
          <w:ilvl w:val="2"/>
          <w:numId w:val="8"/>
        </w:numPr>
        <w:rPr/>
      </w:pPr>
      <w:r>
        <w:rPr/>
        <w:t>Invert 2-3 times</w:t>
      </w:r>
    </w:p>
    <w:p>
      <w:pPr>
        <w:pStyle w:val="Heading2"/>
        <w:rPr/>
      </w:pPr>
      <w:bookmarkStart w:id="5" w:name="heat-shock-and-recovery"/>
      <w:r>
        <w:rPr/>
        <w:t>Heat shock and recovery</w:t>
      </w:r>
    </w:p>
    <w:p>
      <w:pPr>
        <w:pStyle w:val="Compact"/>
        <w:numPr>
          <w:ilvl w:val="0"/>
          <w:numId w:val="14"/>
        </w:numPr>
        <w:rPr/>
      </w:pPr>
      <w:r>
        <w:rPr/>
        <w:t xml:space="preserve">Incubate at </w:t>
      </w:r>
      <w:r>
        <w:rPr>
          <w:b/>
          <w:bCs/>
        </w:rPr>
        <w:t>30 °C for 30 min</w:t>
      </w:r>
      <w:r>
        <w:rPr/>
        <w:t xml:space="preserve"> with rotation.</w:t>
      </w:r>
    </w:p>
    <w:p>
      <w:pPr>
        <w:pStyle w:val="Compact"/>
        <w:numPr>
          <w:ilvl w:val="0"/>
          <w:numId w:val="1"/>
        </w:numPr>
        <w:rPr/>
      </w:pPr>
      <w:r>
        <w:rPr/>
        <w:t xml:space="preserve">Heat-shock at </w:t>
      </w:r>
      <w:r>
        <w:rPr>
          <w:b/>
          <w:bCs/>
        </w:rPr>
        <w:t xml:space="preserve">42 °C for </w:t>
      </w:r>
      <w:r>
        <w:rPr>
          <w:b/>
          <w:bCs/>
        </w:rPr>
        <w:t>20</w:t>
      </w:r>
      <w:r>
        <w:rPr>
          <w:b/>
          <w:bCs/>
        </w:rPr>
        <w:t xml:space="preserve"> min</w:t>
      </w:r>
      <w:r>
        <w:rPr/>
        <w:t xml:space="preserve"> (heat block, ~350 rpm if available).</w:t>
      </w:r>
    </w:p>
    <w:p>
      <w:pPr>
        <w:pStyle w:val="Compact"/>
        <w:numPr>
          <w:ilvl w:val="0"/>
          <w:numId w:val="1"/>
        </w:numPr>
        <w:rPr/>
      </w:pPr>
      <w:r>
        <w:rPr/>
        <w:t>Centrifuge at 8,000 rpm for 2 min; remove all supernatant.</w:t>
      </w:r>
    </w:p>
    <w:p>
      <w:pPr>
        <w:pStyle w:val="Compact"/>
        <w:numPr>
          <w:ilvl w:val="0"/>
          <w:numId w:val="1"/>
        </w:numPr>
        <w:rPr/>
      </w:pPr>
      <w:r>
        <w:rPr/>
        <w:t xml:space="preserve">Resuspend in </w:t>
      </w:r>
      <w:r>
        <w:rPr>
          <w:b/>
          <w:bCs/>
        </w:rPr>
        <w:t>1.0 mL YPD</w:t>
      </w:r>
      <w:r>
        <w:rPr/>
        <w:t>, transfer to a fresh 2 mL tube, parafilm the lid closed to prevent lid popping open.</w:t>
      </w:r>
    </w:p>
    <w:p>
      <w:pPr>
        <w:pStyle w:val="Compact"/>
        <w:numPr>
          <w:ilvl w:val="0"/>
          <w:numId w:val="1"/>
        </w:numPr>
        <w:rPr/>
      </w:pPr>
      <w:r>
        <w:rPr/>
        <w:t xml:space="preserve">Recover at </w:t>
      </w:r>
      <w:r>
        <w:rPr>
          <w:b/>
          <w:bCs/>
        </w:rPr>
        <w:t>30 °C for 4 hours</w:t>
      </w:r>
      <w:r>
        <w:rPr/>
        <w:t>.</w:t>
      </w:r>
    </w:p>
    <w:p>
      <w:pPr>
        <w:pStyle w:val="Compact"/>
        <w:numPr>
          <w:ilvl w:val="0"/>
          <w:numId w:val="1"/>
        </w:numPr>
        <w:spacing w:before="36" w:after="36"/>
        <w:rPr/>
      </w:pPr>
      <w:bookmarkStart w:id="6" w:name="heat-shock-and-recovery"/>
      <w:r>
        <w:rPr/>
        <w:t>Plate the desired volume (typically 100–500 μL) on selective medium.</w:t>
      </w:r>
      <w:bookmarkEnd w:id="6"/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Consolas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5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"/>
    <w:lvlOverride w:ilvl="0">
      <w:startOverride w:val="1"/>
    </w:lvlOverride>
  </w:num>
  <w:num w:numId="11">
    <w:abstractNumId w:val="1"/>
    <w:lvlOverride w:ilvl="0">
      <w:startOverride w:val="1"/>
    </w:lvlOverride>
  </w:num>
  <w:num w:numId="12">
    <w:abstractNumId w:val="1"/>
    <w:lvlOverride w:ilvl="0">
      <w:startOverride w:val="1"/>
    </w:lvlOverride>
  </w:num>
  <w:num w:numId="13">
    <w:abstractNumId w:val="1"/>
    <w:lvlOverride w:ilvl="0">
      <w:startOverride w:val="1"/>
    </w:lvlOverride>
  </w:num>
  <w:num w:numId="14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Cambria" w:cs="" w:asciiTheme="minorHAnsi" w:cstheme="minorBidi" w:eastAsiaTheme="minorHAnsi" w:hAnsiTheme="minorHAnsi"/>
        <w:sz w:val="24"/>
        <w:szCs w:val="24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bidi w:val="0"/>
      <w:spacing w:before="0" w:after="200"/>
      <w:jc w:val="left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Heading1">
    <w:name w:val="heading 1"/>
    <w:basedOn w:val="Normal"/>
    <w:next w:val="BodyText"/>
    <w:uiPriority w:val="9"/>
    <w:qFormat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BodyText"/>
    <w:uiPriority w:val="9"/>
    <w:unhideWhenUsed/>
    <w:qFormat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Cs/>
      <w:i/>
      <w:color w:themeColor="accent1" w:val="4F81BD"/>
    </w:rPr>
  </w:style>
  <w:style w:type="paragraph" w:styleId="Heading5">
    <w:name w:val="heading 5"/>
    <w:basedOn w:val="Normal"/>
    <w:next w:val="BodyText"/>
    <w:uiPriority w:val="9"/>
    <w:unhideWhenUsed/>
    <w:qFormat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iCs/>
      <w:color w:themeColor="accent1" w:val="4F81BD"/>
    </w:rPr>
  </w:style>
  <w:style w:type="paragraph" w:styleId="Heading6">
    <w:name w:val="heading 6"/>
    <w:basedOn w:val="Normal"/>
    <w:next w:val="BodyText"/>
    <w:uiPriority w:val="9"/>
    <w:unhideWhenUsed/>
    <w:qFormat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color w:themeColor="accent1" w:val="4F81BD"/>
    </w:rPr>
  </w:style>
  <w:style w:type="paragraph" w:styleId="Heading7">
    <w:name w:val="heading 7"/>
    <w:basedOn w:val="Normal"/>
    <w:next w:val="BodyText"/>
    <w:uiPriority w:val="9"/>
    <w:unhideWhenUsed/>
    <w:qFormat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color w:themeColor="accent1" w:val="4F81BD"/>
    </w:rPr>
  </w:style>
  <w:style w:type="paragraph" w:styleId="Heading8">
    <w:name w:val="heading 8"/>
    <w:basedOn w:val="Normal"/>
    <w:next w:val="BodyText"/>
    <w:uiPriority w:val="9"/>
    <w:unhideWhenUsed/>
    <w:qFormat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</w:rPr>
  </w:style>
  <w:style w:type="paragraph" w:styleId="Heading9">
    <w:name w:val="heading 9"/>
    <w:basedOn w:val="Normal"/>
    <w:next w:val="BodyText"/>
    <w:uiPriority w:val="9"/>
    <w:unhideWhenUsed/>
    <w:qFormat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color w:themeColor="accent1" w:val="4F81BD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ptionChar" w:customStyle="1">
    <w:name w:val="Caption Char"/>
    <w:basedOn w:val="DefaultParagraphFont"/>
    <w:link w:val="Caption"/>
    <w:qFormat/>
    <w:rPr/>
  </w:style>
  <w:style w:type="character" w:styleId="VerbatimChar" w:customStyle="1">
    <w:name w:val="Verbatim Char"/>
    <w:basedOn w:val="CaptionChar"/>
    <w:link w:val="SourceCode"/>
    <w:qFormat/>
    <w:rPr>
      <w:rFonts w:ascii="Consolas" w:hAnsi="Consolas"/>
      <w:sz w:val="22"/>
    </w:rPr>
  </w:style>
  <w:style w:type="character" w:styleId="SectionNumber" w:customStyle="1">
    <w:name w:val="Section Number"/>
    <w:basedOn w:val="CaptionChar"/>
    <w:qFormat/>
    <w:rPr/>
  </w:style>
  <w:style w:type="character" w:styleId="FootnoteCharacters">
    <w:name w:val="Footnote Characters"/>
    <w:basedOn w:val="CaptionChar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CaptionChar"/>
    <w:rPr>
      <w:color w:themeColor="accent1" w:val="4F81BD"/>
    </w:rPr>
  </w:style>
  <w:style w:type="character" w:styleId="KeywordTok" w:customStyle="1">
    <w:name w:val="KeywordTok"/>
    <w:basedOn w:val="VerbatimChar"/>
    <w:qFormat/>
    <w:rPr>
      <w:rFonts w:ascii="Consolas" w:hAnsi="Consolas"/>
      <w:b/>
      <w:color w:val="007020"/>
      <w:sz w:val="22"/>
    </w:rPr>
  </w:style>
  <w:style w:type="character" w:styleId="DataTypeTok" w:customStyle="1">
    <w:name w:val="DataTypeTok"/>
    <w:basedOn w:val="VerbatimChar"/>
    <w:qFormat/>
    <w:rPr>
      <w:rFonts w:ascii="Consolas" w:hAnsi="Consolas"/>
      <w:color w:val="902000"/>
      <w:sz w:val="22"/>
    </w:rPr>
  </w:style>
  <w:style w:type="character" w:styleId="DecValTok" w:customStyle="1">
    <w:name w:val="DecValTok"/>
    <w:basedOn w:val="VerbatimChar"/>
    <w:qFormat/>
    <w:rPr>
      <w:rFonts w:ascii="Consolas" w:hAnsi="Consolas"/>
      <w:color w:val="40A070"/>
      <w:sz w:val="22"/>
    </w:rPr>
  </w:style>
  <w:style w:type="character" w:styleId="BaseNTok" w:customStyle="1">
    <w:name w:val="BaseNTok"/>
    <w:basedOn w:val="VerbatimChar"/>
    <w:qFormat/>
    <w:rPr>
      <w:rFonts w:ascii="Consolas" w:hAnsi="Consolas"/>
      <w:color w:val="40A070"/>
      <w:sz w:val="22"/>
    </w:rPr>
  </w:style>
  <w:style w:type="character" w:styleId="FloatTok" w:customStyle="1">
    <w:name w:val="FloatTok"/>
    <w:basedOn w:val="VerbatimChar"/>
    <w:qFormat/>
    <w:rPr>
      <w:rFonts w:ascii="Consolas" w:hAnsi="Consolas"/>
      <w:color w:val="40A070"/>
      <w:sz w:val="22"/>
    </w:rPr>
  </w:style>
  <w:style w:type="character" w:styleId="ConstantTok" w:customStyle="1">
    <w:name w:val="ConstantTok"/>
    <w:basedOn w:val="VerbatimChar"/>
    <w:qFormat/>
    <w:rPr>
      <w:rFonts w:ascii="Consolas" w:hAnsi="Consolas"/>
      <w:color w:val="880000"/>
      <w:sz w:val="22"/>
    </w:rPr>
  </w:style>
  <w:style w:type="character" w:styleId="CharTok" w:customStyle="1">
    <w:name w:val="CharTok"/>
    <w:basedOn w:val="VerbatimChar"/>
    <w:qFormat/>
    <w:rPr>
      <w:rFonts w:ascii="Consolas" w:hAnsi="Consolas"/>
      <w:color w:val="4070A0"/>
      <w:sz w:val="22"/>
    </w:rPr>
  </w:style>
  <w:style w:type="character" w:styleId="SpecialCharTok" w:customStyle="1">
    <w:name w:val="SpecialCharTok"/>
    <w:basedOn w:val="VerbatimChar"/>
    <w:qFormat/>
    <w:rPr>
      <w:rFonts w:ascii="Consolas" w:hAnsi="Consolas"/>
      <w:color w:val="4070A0"/>
      <w:sz w:val="22"/>
    </w:rPr>
  </w:style>
  <w:style w:type="character" w:styleId="StringTok" w:customStyle="1">
    <w:name w:val="StringTok"/>
    <w:basedOn w:val="VerbatimChar"/>
    <w:qFormat/>
    <w:rPr>
      <w:rFonts w:ascii="Consolas" w:hAnsi="Consolas"/>
      <w:color w:val="4070A0"/>
      <w:sz w:val="22"/>
    </w:rPr>
  </w:style>
  <w:style w:type="character" w:styleId="VerbatimStringTok" w:customStyle="1">
    <w:name w:val="VerbatimStringTok"/>
    <w:basedOn w:val="VerbatimChar"/>
    <w:qFormat/>
    <w:rPr>
      <w:rFonts w:ascii="Consolas" w:hAnsi="Consolas"/>
      <w:color w:val="4070A0"/>
      <w:sz w:val="22"/>
    </w:rPr>
  </w:style>
  <w:style w:type="character" w:styleId="SpecialStringTok" w:customStyle="1">
    <w:name w:val="SpecialStringTok"/>
    <w:basedOn w:val="VerbatimChar"/>
    <w:qFormat/>
    <w:rPr>
      <w:rFonts w:ascii="Consolas" w:hAnsi="Consolas"/>
      <w:color w:val="BB6688"/>
      <w:sz w:val="22"/>
    </w:rPr>
  </w:style>
  <w:style w:type="character" w:styleId="ImportTok" w:customStyle="1">
    <w:name w:val="ImportTok"/>
    <w:basedOn w:val="VerbatimChar"/>
    <w:qFormat/>
    <w:rPr>
      <w:rFonts w:ascii="Consolas" w:hAnsi="Consolas"/>
      <w:b/>
      <w:color w:val="008000"/>
      <w:sz w:val="22"/>
    </w:rPr>
  </w:style>
  <w:style w:type="character" w:styleId="CommentTok" w:customStyle="1">
    <w:name w:val="CommentTok"/>
    <w:basedOn w:val="VerbatimChar"/>
    <w:qFormat/>
    <w:rPr>
      <w:rFonts w:ascii="Consolas" w:hAnsi="Consolas"/>
      <w:i/>
      <w:color w:val="60A0B0"/>
      <w:sz w:val="22"/>
    </w:rPr>
  </w:style>
  <w:style w:type="character" w:styleId="DocumentationTok" w:customStyle="1">
    <w:name w:val="DocumentationTok"/>
    <w:basedOn w:val="VerbatimChar"/>
    <w:qFormat/>
    <w:rPr>
      <w:rFonts w:ascii="Consolas" w:hAnsi="Consolas"/>
      <w:i/>
      <w:color w:val="BA2121"/>
      <w:sz w:val="22"/>
    </w:rPr>
  </w:style>
  <w:style w:type="character" w:styleId="AnnotationTok" w:customStyle="1">
    <w:name w:val="AnnotationTok"/>
    <w:basedOn w:val="VerbatimChar"/>
    <w:qFormat/>
    <w:rPr>
      <w:rFonts w:ascii="Consolas" w:hAnsi="Consolas"/>
      <w:b/>
      <w:i/>
      <w:color w:val="60A0B0"/>
      <w:sz w:val="22"/>
    </w:rPr>
  </w:style>
  <w:style w:type="character" w:styleId="CommentVarTok" w:customStyle="1">
    <w:name w:val="CommentVarTok"/>
    <w:basedOn w:val="VerbatimChar"/>
    <w:qFormat/>
    <w:rPr>
      <w:rFonts w:ascii="Consolas" w:hAnsi="Consolas"/>
      <w:b/>
      <w:i/>
      <w:color w:val="60A0B0"/>
      <w:sz w:val="22"/>
    </w:rPr>
  </w:style>
  <w:style w:type="character" w:styleId="OtherTok" w:customStyle="1">
    <w:name w:val="OtherTok"/>
    <w:basedOn w:val="VerbatimChar"/>
    <w:qFormat/>
    <w:rPr>
      <w:rFonts w:ascii="Consolas" w:hAnsi="Consolas"/>
      <w:color w:val="007020"/>
      <w:sz w:val="22"/>
    </w:rPr>
  </w:style>
  <w:style w:type="character" w:styleId="FunctionTok" w:customStyle="1">
    <w:name w:val="FunctionTok"/>
    <w:basedOn w:val="VerbatimChar"/>
    <w:qFormat/>
    <w:rPr>
      <w:rFonts w:ascii="Consolas" w:hAnsi="Consolas"/>
      <w:color w:val="06287E"/>
      <w:sz w:val="22"/>
    </w:rPr>
  </w:style>
  <w:style w:type="character" w:styleId="VariableTok" w:customStyle="1">
    <w:name w:val="VariableTok"/>
    <w:basedOn w:val="VerbatimChar"/>
    <w:qFormat/>
    <w:rPr>
      <w:rFonts w:ascii="Consolas" w:hAnsi="Consolas"/>
      <w:color w:val="19177C"/>
      <w:sz w:val="22"/>
    </w:rPr>
  </w:style>
  <w:style w:type="character" w:styleId="ControlFlowTok" w:customStyle="1">
    <w:name w:val="ControlFlowTok"/>
    <w:basedOn w:val="VerbatimChar"/>
    <w:qFormat/>
    <w:rPr>
      <w:rFonts w:ascii="Consolas" w:hAnsi="Consolas"/>
      <w:b/>
      <w:color w:val="007020"/>
      <w:sz w:val="22"/>
    </w:rPr>
  </w:style>
  <w:style w:type="character" w:styleId="OperatorTok" w:customStyle="1">
    <w:name w:val="OperatorTok"/>
    <w:basedOn w:val="VerbatimChar"/>
    <w:qFormat/>
    <w:rPr>
      <w:rFonts w:ascii="Consolas" w:hAnsi="Consolas"/>
      <w:color w:val="666666"/>
      <w:sz w:val="22"/>
    </w:rPr>
  </w:style>
  <w:style w:type="character" w:styleId="BuiltInTok" w:customStyle="1">
    <w:name w:val="BuiltInTok"/>
    <w:basedOn w:val="VerbatimChar"/>
    <w:qFormat/>
    <w:rPr>
      <w:rFonts w:ascii="Consolas" w:hAnsi="Consolas"/>
      <w:color w:val="008000"/>
      <w:sz w:val="22"/>
    </w:rPr>
  </w:style>
  <w:style w:type="character" w:styleId="ExtensionTok" w:customStyle="1">
    <w:name w:val="ExtensionTok"/>
    <w:basedOn w:val="VerbatimChar"/>
    <w:qFormat/>
    <w:rPr>
      <w:rFonts w:ascii="Consolas" w:hAnsi="Consolas"/>
      <w:sz w:val="22"/>
    </w:rPr>
  </w:style>
  <w:style w:type="character" w:styleId="PreprocessorTok" w:customStyle="1">
    <w:name w:val="PreprocessorTok"/>
    <w:basedOn w:val="VerbatimChar"/>
    <w:qFormat/>
    <w:rPr>
      <w:rFonts w:ascii="Consolas" w:hAnsi="Consolas"/>
      <w:color w:val="BC7A00"/>
      <w:sz w:val="22"/>
    </w:rPr>
  </w:style>
  <w:style w:type="character" w:styleId="AttributeTok" w:customStyle="1">
    <w:name w:val="AttributeTok"/>
    <w:basedOn w:val="VerbatimChar"/>
    <w:qFormat/>
    <w:rPr>
      <w:rFonts w:ascii="Consolas" w:hAnsi="Consolas"/>
      <w:color w:val="7D9029"/>
      <w:sz w:val="22"/>
    </w:rPr>
  </w:style>
  <w:style w:type="character" w:styleId="RegionMarkerTok" w:customStyle="1">
    <w:name w:val="RegionMarkerTok"/>
    <w:basedOn w:val="VerbatimChar"/>
    <w:qFormat/>
    <w:rPr>
      <w:rFonts w:ascii="Consolas" w:hAnsi="Consolas"/>
      <w:sz w:val="22"/>
    </w:rPr>
  </w:style>
  <w:style w:type="character" w:styleId="InformationTok" w:customStyle="1">
    <w:name w:val="InformationTok"/>
    <w:basedOn w:val="VerbatimChar"/>
    <w:qFormat/>
    <w:rPr>
      <w:rFonts w:ascii="Consolas" w:hAnsi="Consolas"/>
      <w:b/>
      <w:i/>
      <w:color w:val="60A0B0"/>
      <w:sz w:val="22"/>
    </w:rPr>
  </w:style>
  <w:style w:type="character" w:styleId="WarningTok" w:customStyle="1">
    <w:name w:val="WarningTok"/>
    <w:basedOn w:val="VerbatimChar"/>
    <w:qFormat/>
    <w:rPr>
      <w:rFonts w:ascii="Consolas" w:hAnsi="Consolas"/>
      <w:b/>
      <w:i/>
      <w:color w:val="60A0B0"/>
      <w:sz w:val="22"/>
    </w:rPr>
  </w:style>
  <w:style w:type="character" w:styleId="AlertTok" w:customStyle="1">
    <w:name w:val="AlertTok"/>
    <w:basedOn w:val="VerbatimChar"/>
    <w:qFormat/>
    <w:rPr>
      <w:rFonts w:ascii="Consolas" w:hAnsi="Consolas"/>
      <w:b/>
      <w:color w:val="FF0000"/>
      <w:sz w:val="22"/>
    </w:rPr>
  </w:style>
  <w:style w:type="character" w:styleId="ErrorTok" w:customStyle="1">
    <w:name w:val="ErrorTok"/>
    <w:basedOn w:val="VerbatimChar"/>
    <w:qFormat/>
    <w:rPr>
      <w:rFonts w:ascii="Consolas" w:hAnsi="Consolas"/>
      <w:b/>
      <w:color w:val="FF0000"/>
      <w:sz w:val="22"/>
    </w:rPr>
  </w:style>
  <w:style w:type="character" w:styleId="NormalTok" w:customStyle="1">
    <w:name w:val="NormalTok"/>
    <w:basedOn w:val="VerbatimChar"/>
    <w:qFormat/>
    <w:rPr>
      <w:rFonts w:ascii="Consolas" w:hAnsi="Consolas"/>
      <w:sz w:val="22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qFormat/>
    <w:pPr>
      <w:spacing w:before="180" w:after="18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link w:val="CaptionChar"/>
    <w:qFormat/>
    <w:pPr>
      <w:spacing w:before="0" w:after="120"/>
    </w:pPr>
    <w:rPr>
      <w:i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FirstParagraph" w:customStyle="1">
    <w:name w:val="First Paragraph"/>
    <w:basedOn w:val="BodyText"/>
    <w:next w:val="BodyText"/>
    <w:qFormat/>
    <w:pPr/>
    <w:rPr/>
  </w:style>
  <w:style w:type="paragraph" w:styleId="Compact" w:customStyle="1">
    <w:name w:val="Compact"/>
    <w:basedOn w:val="BodyText"/>
    <w:qFormat/>
    <w:pPr>
      <w:spacing w:before="36" w:after="36"/>
    </w:pPr>
    <w:rPr/>
  </w:style>
  <w:style w:type="paragraph" w:styleId="Title">
    <w:name w:val="Title"/>
    <w:basedOn w:val="Normal"/>
    <w:next w:val="BodyText"/>
    <w:qFormat/>
    <w:pPr>
      <w:keepNext w:val="true"/>
      <w:keepLines/>
      <w:spacing w:before="480" w:after="240"/>
      <w:jc w:val="center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 w:after="240"/>
    </w:pPr>
    <w:rPr>
      <w:sz w:val="30"/>
      <w:szCs w:val="30"/>
    </w:rPr>
  </w:style>
  <w:style w:type="paragraph" w:styleId="Author" w:customStyle="1">
    <w:name w:val="Author"/>
    <w:next w:val="BodyText"/>
    <w:qFormat/>
    <w:pPr>
      <w:keepNext w:val="true"/>
      <w:keepLines/>
      <w:widowControl/>
      <w:bidi w:val="0"/>
      <w:spacing w:before="0" w:after="200"/>
      <w:jc w:val="center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Date">
    <w:name w:val="Date"/>
    <w:next w:val="BodyText"/>
    <w:qFormat/>
    <w:pPr>
      <w:keepNext w:val="true"/>
      <w:keepLines/>
      <w:widowControl/>
      <w:bidi w:val="0"/>
      <w:spacing w:before="0" w:after="200"/>
      <w:jc w:val="center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AbstractTitle" w:customStyle="1">
    <w:name w:val="Abstract Title"/>
    <w:basedOn w:val="Normal"/>
    <w:next w:val="Abstract"/>
    <w:qFormat/>
    <w:pPr>
      <w:keepNext w:val="true"/>
      <w:keepLines/>
      <w:spacing w:before="300" w:after="0"/>
      <w:jc w:val="center"/>
    </w:pPr>
    <w:rPr>
      <w:b/>
      <w:color w:val="345A8A"/>
      <w:sz w:val="20"/>
      <w:szCs w:val="20"/>
    </w:rPr>
  </w:style>
  <w:style w:type="paragraph" w:styleId="Abstract" w:customStyle="1">
    <w:name w:val="Abstract"/>
    <w:basedOn w:val="Normal"/>
    <w:next w:val="BodyText"/>
    <w:qFormat/>
    <w:pPr>
      <w:keepNext w:val="true"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  <w:rPr/>
  </w:style>
  <w:style w:type="paragraph" w:styleId="FootnoteText">
    <w:name w:val="footnote text"/>
    <w:basedOn w:val="Normal"/>
    <w:uiPriority w:val="9"/>
    <w:unhideWhenUsed/>
    <w:qFormat/>
    <w:pPr/>
    <w:rPr/>
  </w:style>
  <w:style w:type="paragraph" w:styleId="DefinitionTerm" w:customStyle="1">
    <w:name w:val="Definition Term"/>
    <w:basedOn w:val="Normal"/>
    <w:next w:val="Definition"/>
    <w:qFormat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pPr/>
    <w:rPr/>
  </w:style>
  <w:style w:type="paragraph" w:styleId="TableCaption" w:customStyle="1">
    <w:name w:val="Table Caption"/>
    <w:basedOn w:val="Caption"/>
    <w:qFormat/>
    <w:pPr>
      <w:keepNext w:val="true"/>
    </w:pPr>
    <w:rPr/>
  </w:style>
  <w:style w:type="paragraph" w:styleId="ImageCaption" w:customStyle="1">
    <w:name w:val="Image Caption"/>
    <w:basedOn w:val="Caption"/>
    <w:qFormat/>
    <w:pPr/>
    <w:rPr/>
  </w:style>
  <w:style w:type="paragraph" w:styleId="Figure" w:customStyle="1">
    <w:name w:val="Figure"/>
    <w:basedOn w:val="Normal"/>
    <w:qFormat/>
    <w:pPr/>
    <w:rPr/>
  </w:style>
  <w:style w:type="paragraph" w:styleId="CaptionedFigure" w:customStyle="1">
    <w:name w:val="Captioned Figure"/>
    <w:basedOn w:val="Figure"/>
    <w:qFormat/>
    <w:pPr>
      <w:keepNext w:val="true"/>
    </w:pPr>
    <w:rPr/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BodyText"/>
    <w:uiPriority w:val="39"/>
    <w:unhideWhenUsed/>
    <w:qFormat/>
    <w:pPr>
      <w:spacing w:lineRule="auto" w:line="259" w:before="240" w:after="0"/>
      <w:outlineLvl w:val="9"/>
    </w:pPr>
    <w:rPr>
      <w:b w:val="false"/>
      <w:bCs w:val="false"/>
      <w:color w:themeColor="accent1" w:themeShade="bf" w:val="365F91"/>
    </w:rPr>
  </w:style>
  <w:style w:type="paragraph" w:styleId="SourceCode" w:customStyle="1">
    <w:name w:val="Source Code"/>
    <w:basedOn w:val="Normal"/>
    <w:link w:val="VerbatimChar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">
    <w:name w:val="Table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Application>LibreOffice/25.8.5.2$Linux_X86_64 LibreOffice_project/580$Build-2</Application>
  <AppVersion>15.0000</AppVersion>
  <Pages>2</Pages>
  <Words>523</Words>
  <Characters>2406</Characters>
  <CharactersWithSpaces>2845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2026-09-01T00:00:00Z</dcterms:created>
  <dc:creator/>
  <dc:description/>
  <dc:language>en-US</dc:language>
  <cp:lastModifiedBy/>
  <dcterms:modified xsi:type="dcterms:W3CDTF">2026-10-20T17:46:06Z</dcterms:modified>
  <cp:revision>1</cp:revision>
  <dc:subject/>
  <dc:title>Lithium acetate/PEG transformation of snowflake yeast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