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Measuring ploidy (propidium iodide staining)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X5befe0b5f743d72a6c3dd94109754eda0da55a0"/>
    <w:p>
      <w:pPr>
        <w:pStyle w:val="Heading2"/>
      </w:pPr>
      <w:r>
        <w:t xml:space="preserve">Measuring ploidy (propidium iodide DNA staining)</w:t>
      </w:r>
    </w:p>
    <w:p>
      <w:pPr>
        <w:pStyle w:val="Compact"/>
        <w:numPr>
          <w:ilvl w:val="0"/>
          <w:numId w:val="1001"/>
        </w:numPr>
      </w:pPr>
      <w:r>
        <w:t xml:space="preserve">Grow the strain of interest in YPD to mid-log phase; transfer 250 μL</w:t>
      </w:r>
      <w:r>
        <w:t xml:space="preserve"> </w:t>
      </w:r>
      <w:r>
        <w:t xml:space="preserve">culture to a 1.5 mL tube.</w:t>
      </w:r>
    </w:p>
    <w:p>
      <w:pPr>
        <w:pStyle w:val="Compact"/>
        <w:numPr>
          <w:ilvl w:val="0"/>
          <w:numId w:val="1001"/>
        </w:numPr>
      </w:pPr>
      <w:r>
        <w:t xml:space="preserve">Pellet cells (5,000 × g, 1 min), wash with 1 mL H₂O.</w:t>
      </w:r>
    </w:p>
    <w:p>
      <w:pPr>
        <w:pStyle w:val="Compact"/>
        <w:numPr>
          <w:ilvl w:val="0"/>
          <w:numId w:val="1001"/>
        </w:numPr>
      </w:pPr>
      <w:r>
        <w:t xml:space="preserve">Macroscopic strains: break clusters into small pieces by vigorous</w:t>
      </w:r>
      <w:r>
        <w:t xml:space="preserve"> </w:t>
      </w:r>
      <w:r>
        <w:t xml:space="preserve">pipetting with 100 μL regular-bore tips before washing.</w:t>
      </w:r>
    </w:p>
    <w:p>
      <w:pPr>
        <w:pStyle w:val="Compact"/>
        <w:numPr>
          <w:ilvl w:val="0"/>
          <w:numId w:val="1001"/>
        </w:numPr>
      </w:pPr>
      <w:r>
        <w:t xml:space="preserve">Fix/permeabilize in 1 mL 70% ethanol, room temperature, 2 h,</w:t>
      </w:r>
      <w:r>
        <w:t xml:space="preserve"> </w:t>
      </w:r>
      <w:r>
        <w:t xml:space="preserve">end-over-end rotation (max speed).</w:t>
      </w:r>
    </w:p>
    <w:p>
      <w:pPr>
        <w:pStyle w:val="Compact"/>
        <w:numPr>
          <w:ilvl w:val="0"/>
          <w:numId w:val="1001"/>
        </w:numPr>
      </w:pPr>
      <w:r>
        <w:t xml:space="preserve">Wash twice with 1 mL 50 mM sodium citrate.</w:t>
      </w:r>
    </w:p>
    <w:p>
      <w:pPr>
        <w:pStyle w:val="Compact"/>
        <w:numPr>
          <w:ilvl w:val="0"/>
          <w:numId w:val="1001"/>
        </w:numPr>
      </w:pPr>
      <w:r>
        <w:t xml:space="preserve">Resuspend in 200 μL 50 mM sodium citrate + 0.5 mg/mL RNase A;</w:t>
      </w:r>
      <w:r>
        <w:t xml:space="preserve"> </w:t>
      </w:r>
      <w:r>
        <w:t xml:space="preserve">incubate at 37 °C for 2 h, inverting gently every 30 min.</w:t>
      </w:r>
    </w:p>
    <w:p>
      <w:pPr>
        <w:pStyle w:val="Compact"/>
        <w:numPr>
          <w:ilvl w:val="0"/>
          <w:numId w:val="1001"/>
        </w:numPr>
      </w:pPr>
      <w:r>
        <w:t xml:space="preserve">Add 5 μL of 1 mg/mL propidium iodide; incubate at 30 °C overnight in</w:t>
      </w:r>
      <w:r>
        <w:t xml:space="preserve"> </w:t>
      </w:r>
      <w:r>
        <w:t xml:space="preserve">the dark, gentle rotation (minimum speed).</w:t>
      </w:r>
    </w:p>
    <w:p>
      <w:pPr>
        <w:pStyle w:val="Compact"/>
        <w:numPr>
          <w:ilvl w:val="0"/>
          <w:numId w:val="1001"/>
        </w:numPr>
      </w:pPr>
      <w:r>
        <w:t xml:space="preserve">PI-stained clusters may be stored at 4 °C for up to 1 week before</w:t>
      </w:r>
      <w:r>
        <w:t xml:space="preserve"> </w:t>
      </w:r>
      <w:r>
        <w:t xml:space="preserve">imaging.</w:t>
      </w:r>
    </w:p>
    <w:p>
      <w:pPr>
        <w:pStyle w:val="Compact"/>
        <w:numPr>
          <w:ilvl w:val="0"/>
          <w:numId w:val="1001"/>
        </w:numPr>
      </w:pPr>
      <w:r>
        <w:t xml:space="preserve">Crush 5 μL of stained clusters into a single cell layer between</w:t>
      </w:r>
      <w:r>
        <w:t xml:space="preserve"> </w:t>
      </w:r>
      <w:r>
        <w:t xml:space="preserve">slide and coverslip for imaging.</w:t>
      </w:r>
    </w:p>
    <w:p>
      <w:pPr>
        <w:pStyle w:val="Compact"/>
        <w:numPr>
          <w:ilvl w:val="0"/>
          <w:numId w:val="1001"/>
        </w:numPr>
      </w:pPr>
      <w:r>
        <w:t xml:space="preserve">Image at ×20 magnification, red fluorescent channel (600 ms</w:t>
      </w:r>
      <w:r>
        <w:t xml:space="preserve"> </w:t>
      </w:r>
      <w:r>
        <w:t xml:space="preserve">exposure, 2.2× gain) at the focal plane plus one z-plane 0.3 μm</w:t>
      </w:r>
      <w:r>
        <w:t xml:space="preserve"> </w:t>
      </w:r>
      <w:r>
        <w:t xml:space="preserve">above and below (3 planes total, later max-projected), plus a</w:t>
      </w:r>
      <w:r>
        <w:t xml:space="preserve"> </w:t>
      </w:r>
      <w:r>
        <w:t xml:space="preserve">brightfield image at the focal plane (100 ms exposure, 4.1× gain).</w:t>
      </w:r>
      <w:r>
        <w:t xml:space="preserve"> </w:t>
      </w:r>
      <w:r>
        <w:t xml:space="preserve">Set focal plane in brightfield, then move down 1 μm for nuclear</w:t>
      </w:r>
      <w:r>
        <w:t xml:space="preserve"> </w:t>
      </w:r>
      <w:r>
        <w:t xml:space="preserve">signal.</w:t>
      </w:r>
    </w:p>
    <w:p>
      <w:pPr>
        <w:pStyle w:val="Compact"/>
        <w:numPr>
          <w:ilvl w:val="0"/>
          <w:numId w:val="1001"/>
        </w:numPr>
      </w:pPr>
      <w:r>
        <w:t xml:space="preserve">Calibrate exposure/gain so the brightest pixels in a tetraploid</w:t>
      </w:r>
      <w:r>
        <w:t xml:space="preserve"> </w:t>
      </w:r>
      <w:r>
        <w:t xml:space="preserve">control strain are ~80% of maximum pixel value.</w:t>
      </w:r>
    </w:p>
    <w:p>
      <w:pPr>
        <w:pStyle w:val="Compact"/>
        <w:numPr>
          <w:ilvl w:val="0"/>
          <w:numId w:val="1001"/>
        </w:numPr>
      </w:pPr>
      <w:r>
        <w:t xml:space="preserve">Run known-ploidy controls (e.g., engineered</w:t>
      </w:r>
      <w:r>
        <w:t xml:space="preserve"> </w:t>
      </w:r>
      <w:r>
        <w:t xml:space="preserve">“grande”</w:t>
      </w:r>
      <w:r>
        <w:t xml:space="preserve"> </w:t>
      </w:r>
      <w:r>
        <w:t xml:space="preserve">diploid and</w:t>
      </w:r>
      <w:r>
        <w:t xml:space="preserve"> </w:t>
      </w:r>
      <w:r>
        <w:t xml:space="preserve">tetraploid snowflake yeast strains) through the same procedure</w:t>
      </w:r>
      <w:r>
        <w:t xml:space="preserve"> </w:t>
      </w:r>
      <w:r>
        <w:t xml:space="preserve">alongside samples in every experiment.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ploidy (propidium iodide staining)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