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CRISPR-Cas9 knock-in at the ChrXIII Int8 locus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X3255e8f24573fa37b69b0c0223dcc896cda9d86"/>
    <w:p>
      <w:pPr>
        <w:pStyle w:val="Heading2"/>
      </w:pPr>
      <w:r>
        <w:t xml:space="preserve">CRISPR-based knock-in transformation (constitutive or inducible donor)</w:t>
      </w:r>
    </w:p>
    <w:p>
      <w:pPr>
        <w:pStyle w:val="FirstParagraph"/>
      </w:pPr>
      <w:r>
        <w:t xml:space="preserve">This system enables single-locus gene knock-ins (e.g., GFP labeling)</w:t>
      </w:r>
      <w:r>
        <w:t xml:space="preserve"> </w:t>
      </w:r>
      <w:r>
        <w:t xml:space="preserve">into the Y55 background using Golden Gate assembly (GGA) and</w:t>
      </w:r>
      <w:r>
        <w:t xml:space="preserve"> </w:t>
      </w:r>
      <w:r>
        <w:t xml:space="preserve">CRISPR-Cas9-mediated homologous recombination, then delivered via the</w:t>
      </w:r>
      <w:r>
        <w:t xml:space="preserve"> </w:t>
      </w:r>
      <w:r>
        <w:t xml:space="preserve">standard LiAc/PEG transformation protocol ([[Lithium acetate/PEG transformation of snowflake yeast]]). Adapted from a</w:t>
      </w:r>
      <w:r>
        <w:t xml:space="preserve"> </w:t>
      </w:r>
      <w:r>
        <w:t xml:space="preserve">Multiplex MoClo Toolkit for engineering</w:t>
      </w:r>
      <w:r>
        <w:t xml:space="preserve"> </w:t>
      </w:r>
      <w:r>
        <w:rPr>
          <w:i/>
          <w:iCs/>
        </w:rPr>
        <w:t xml:space="preserve">S. cerevisiae</w:t>
      </w:r>
      <w:r>
        <w:t xml:space="preserve">, which describes</w:t>
      </w:r>
      <w:r>
        <w:t xml:space="preserve"> </w:t>
      </w:r>
      <w:r>
        <w:t xml:space="preserve">ten candidate genomic integration loci (Shaw, Khalil &amp; Ellis,</w:t>
      </w:r>
      <w:r>
        <w:t xml:space="preserve"> </w:t>
      </w:r>
      <w:r>
        <w:rPr>
          <w:i/>
          <w:iCs/>
        </w:rPr>
        <w:t xml:space="preserve">ACS</w:t>
      </w:r>
      <w:r>
        <w:rPr>
          <w:i/>
          <w:iCs/>
        </w:rPr>
        <w:t xml:space="preserve"> </w:t>
      </w:r>
      <w:r>
        <w:rPr>
          <w:i/>
          <w:iCs/>
        </w:rPr>
        <w:t xml:space="preserve">Synthetic Biology</w:t>
      </w:r>
      <w:r>
        <w:t xml:space="preserve"> </w:t>
      </w:r>
      <w:r>
        <w:t xml:space="preserve">12:3393–3405, 2023); of these, only one — Int8 on</w:t>
      </w:r>
      <w:r>
        <w:t xml:space="preserve"> </w:t>
      </w:r>
      <w:r>
        <w:t xml:space="preserve">Chromosome XIII — has a Y55-assembled reference sequence deposited in</w:t>
      </w:r>
      <w:r>
        <w:t xml:space="preserve"> </w:t>
      </w:r>
      <w:r>
        <w:t xml:space="preserve">SGD, and it is the locus currently used in this lab (internal protocol,</w:t>
      </w:r>
      <w:r>
        <w:t xml:space="preserve"> </w:t>
      </w:r>
      <w:r>
        <w:t xml:space="preserve">v. 2026-04-17).</w:t>
      </w:r>
    </w:p>
    <w:p>
      <w:pPr>
        <w:pStyle w:val="BodyText"/>
      </w:pPr>
      <w:r>
        <w:rPr>
          <w:b/>
          <w:bCs/>
        </w:rPr>
        <w:t xml:space="preserve">Overview.</w:t>
      </w:r>
      <w:r>
        <w:t xml:space="preserve"> </w:t>
      </w:r>
      <w:r>
        <w:t xml:space="preserve">Two plasmids are required, both flanked by NotI sites so</w:t>
      </w:r>
      <w:r>
        <w:t xml:space="preserve"> </w:t>
      </w:r>
      <w:r>
        <w:t xml:space="preserve">the functional cassette can be excised before transformation: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CRISPR-Cas9 plasmid</w:t>
      </w:r>
      <w:r>
        <w:t xml:space="preserve"> </w:t>
      </w:r>
      <w:r>
        <w:t xml:space="preserve">(targets the ChrXIII Int8 locus):</w:t>
      </w:r>
      <w:r>
        <w:t xml:space="preserve"> </w:t>
      </w:r>
      <w:r>
        <w:t xml:space="preserve">NotI–Cas9–gRNA–gRNA scaffold–NotI.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Donor plasmid</w:t>
      </w:r>
      <w:r>
        <w:t xml:space="preserve"> </w:t>
      </w:r>
      <w:r>
        <w:t xml:space="preserve">(carries the insertion cassette and homology</w:t>
      </w:r>
      <w:r>
        <w:t xml:space="preserve"> </w:t>
      </w:r>
      <w:r>
        <w:t xml:space="preserve">arms): NotI–upstream homology arm–promoter–insertion</w:t>
      </w:r>
      <w:r>
        <w:t xml:space="preserve"> </w:t>
      </w:r>
      <w:r>
        <w:t xml:space="preserve">sequence–terminator/selection marker cassette (hygromycin</w:t>
      </w:r>
      <w:r>
        <w:t xml:space="preserve"> </w:t>
      </w:r>
      <w:r>
        <w:t xml:space="preserve">resistance)–downstream homology arm–NotI.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Constitutive donor:</w:t>
      </w:r>
      <w:r>
        <w:t xml:space="preserve"> </w:t>
      </w:r>
      <w:r>
        <w:t xml:space="preserve">driven by the TEF promoter.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Inducible donor:</w:t>
      </w:r>
      <w:r>
        <w:t xml:space="preserve"> </w:t>
      </w:r>
      <w:r>
        <w:t xml:space="preserve">promoter replaced with a synthetic inducible</w:t>
      </w:r>
      <w:r>
        <w:t xml:space="preserve"> </w:t>
      </w:r>
      <w:r>
        <w:t xml:space="preserve">promoter.</w:t>
      </w:r>
    </w:p>
    <w:p>
      <w:pPr>
        <w:pStyle w:val="FirstParagraph"/>
      </w:pPr>
      <w:r>
        <w:rPr>
          <w:b/>
          <w:bCs/>
        </w:rPr>
        <w:t xml:space="preserve">Plasmid construction (Golden Gate assembly).</w:t>
      </w:r>
    </w:p>
    <w:p>
      <w:pPr>
        <w:pStyle w:val="Compact"/>
        <w:numPr>
          <w:ilvl w:val="0"/>
          <w:numId w:val="1003"/>
        </w:numPr>
      </w:pPr>
      <w:r>
        <w:t xml:space="preserve">Order any needed synthesized DNA fragments with the appropriate</w:t>
      </w:r>
      <w:r>
        <w:t xml:space="preserve"> </w:t>
      </w:r>
      <w:r>
        <w:t xml:space="preserve">restriction sites added at both ends. The insertion sequence itself</w:t>
      </w:r>
      <w:r>
        <w:t xml:space="preserve"> </w:t>
      </w:r>
      <w:r>
        <w:t xml:space="preserve">must not contain internal BbsI sites.</w:t>
      </w:r>
    </w:p>
    <w:p>
      <w:pPr>
        <w:pStyle w:val="Compact"/>
        <w:numPr>
          <w:ilvl w:val="0"/>
          <w:numId w:val="1003"/>
        </w:numPr>
      </w:pPr>
      <w:r>
        <w:t xml:space="preserve">PCR-amplify the remaining fragments (gRNA, homology arms, promoter,</w:t>
      </w:r>
      <w:r>
        <w:t xml:space="preserve"> </w:t>
      </w:r>
      <w:r>
        <w:t xml:space="preserve">insertion sequence, marker cassette) from the templates specified in</w:t>
      </w:r>
      <w:r>
        <w:t xml:space="preserve"> </w:t>
      </w:r>
      <w:r>
        <w:t xml:space="preserve">the lab’s plasmid records, using the corresponding primer pairs.</w:t>
      </w:r>
    </w:p>
    <w:p>
      <w:pPr>
        <w:pStyle w:val="Compact"/>
        <w:numPr>
          <w:ilvl w:val="0"/>
          <w:numId w:val="1003"/>
        </w:numPr>
      </w:pPr>
      <w:r>
        <w:t xml:space="preserve">Assemble each plasmid by Golden Gate assembly: the CRISPR-Cas9</w:t>
      </w:r>
      <w:r>
        <w:t xml:space="preserve"> </w:t>
      </w:r>
      <w:r>
        <w:t xml:space="preserve">plasmid via BsaI-based GGA (backbone + gRNA insert); the donor</w:t>
      </w:r>
      <w:r>
        <w:t xml:space="preserve"> </w:t>
      </w:r>
      <w:r>
        <w:t xml:space="preserve">plasmid via BbsI-based GGA (backbone + homology arms + promoter +</w:t>
      </w:r>
      <w:r>
        <w:t xml:space="preserve"> </w:t>
      </w:r>
      <w:r>
        <w:t xml:space="preserve">insertion + marker cassette).</w:t>
      </w:r>
    </w:p>
    <w:p>
      <w:pPr>
        <w:pStyle w:val="Compact"/>
        <w:numPr>
          <w:ilvl w:val="0"/>
          <w:numId w:val="1003"/>
        </w:numPr>
      </w:pPr>
      <w:r>
        <w:t xml:space="preserve">Reaction mix (10 μL total): 0.5 μL backbone (25 nM), 0.5 μL per</w:t>
      </w:r>
      <w:r>
        <w:t xml:space="preserve"> </w:t>
      </w:r>
      <w:r>
        <w:t xml:space="preserve">insert (50 nM), 1 μL 10× T4 DNA Ligase Buffer, 0.5 μL Golden Gate</w:t>
      </w:r>
      <w:r>
        <w:t xml:space="preserve"> </w:t>
      </w:r>
      <w:r>
        <w:t xml:space="preserve">enzyme mix (or 0.5 μL BsaI/BbsI plus 0.5 μL T4 DNA ligase — double</w:t>
      </w:r>
      <w:r>
        <w:t xml:space="preserve"> </w:t>
      </w:r>
      <w:r>
        <w:t xml:space="preserve">both if assembling ≥10 inserts), water to 10 μL.</w:t>
      </w:r>
    </w:p>
    <w:p>
      <w:pPr>
        <w:pStyle w:val="Compact"/>
        <w:numPr>
          <w:ilvl w:val="0"/>
          <w:numId w:val="1003"/>
        </w:numPr>
      </w:pPr>
      <w:r>
        <w:t xml:space="preserve">Thermocycle as repeated digestion–ligation cycles (digestion 2 min</w:t>
      </w:r>
      <w:r>
        <w:t xml:space="preserve"> </w:t>
      </w:r>
      <w:r>
        <w:t xml:space="preserve">at 37 °C for BsaI/BpiI or 42 °C for BsmBI; ligation 5 min at 16 °C),</w:t>
      </w:r>
      <w:r>
        <w:t xml:space="preserve"> </w:t>
      </w:r>
      <w:r>
        <w:t xml:space="preserve">roughly 10 cycles per insert (10 cycles for 1 insert, up to 25+</w:t>
      </w:r>
      <w:r>
        <w:t xml:space="preserve"> </w:t>
      </w:r>
      <w:r>
        <w:t xml:space="preserve">cycles for 4 or more inserts), followed by a final digestion (55 °C,</w:t>
      </w:r>
      <w:r>
        <w:t xml:space="preserve"> </w:t>
      </w:r>
      <w:r>
        <w:t xml:space="preserve">10 min) and heat inactivation (80 °C, 10 min).</w:t>
      </w:r>
    </w:p>
    <w:p>
      <w:pPr>
        <w:pStyle w:val="Compact"/>
        <w:numPr>
          <w:ilvl w:val="0"/>
          <w:numId w:val="1003"/>
        </w:numPr>
      </w:pPr>
      <w:r>
        <w:t xml:space="preserve">Verify the completed donor plasmid by full-plasmid sequencing before</w:t>
      </w:r>
      <w:r>
        <w:t xml:space="preserve"> </w:t>
      </w:r>
      <w:r>
        <w:t xml:space="preserve">use.</w:t>
      </w:r>
    </w:p>
    <w:p>
      <w:pPr>
        <w:pStyle w:val="FirstParagraph"/>
      </w:pPr>
      <w:r>
        <w:rPr>
          <w:b/>
          <w:bCs/>
        </w:rPr>
        <w:t xml:space="preserve">Transformation.</w:t>
      </w:r>
    </w:p>
    <w:p>
      <w:pPr>
        <w:pStyle w:val="Compact"/>
        <w:numPr>
          <w:ilvl w:val="0"/>
          <w:numId w:val="1004"/>
        </w:numPr>
      </w:pPr>
      <w:r>
        <w:t xml:space="preserve">Digest both the CRISPR-Cas9 plasmid and the donor plasmid with NotI</w:t>
      </w:r>
      <w:r>
        <w:t xml:space="preserve"> </w:t>
      </w:r>
      <w:r>
        <w:t xml:space="preserve">to release the functional cassettes from their backbones.</w:t>
      </w:r>
    </w:p>
    <w:p>
      <w:pPr>
        <w:pStyle w:val="Compact"/>
        <w:numPr>
          <w:ilvl w:val="0"/>
          <w:numId w:val="1004"/>
        </w:numPr>
      </w:pPr>
      <w:r>
        <w:t xml:space="preserve">Transform the two digested fragments together into snowflake yeast</w:t>
      </w:r>
      <w:r>
        <w:t xml:space="preserve"> </w:t>
      </w:r>
      <w:r>
        <w:t xml:space="preserve">cells using the standard LiAc/PEG transformation protocol</w:t>
      </w:r>
      <w:r>
        <w:t xml:space="preserve"> </w:t>
      </w:r>
      <w:r>
        <w:t xml:space="preserve">([[Lithium acetate/PEG transformation of snowflake yeast]]).</w:t>
      </w:r>
    </w:p>
    <w:p>
      <w:pPr>
        <w:pStyle w:val="Compact"/>
        <w:numPr>
          <w:ilvl w:val="0"/>
          <w:numId w:val="1004"/>
        </w:numPr>
      </w:pPr>
      <w:r>
        <w:t xml:space="preserve">Select transformants on hygromycin (resistance marker carried on the</w:t>
      </w:r>
      <w:r>
        <w:t xml:space="preserve"> </w:t>
      </w:r>
      <w:r>
        <w:t xml:space="preserve">donor cassette).</w:t>
      </w:r>
    </w:p>
    <w:p>
      <w:pPr>
        <w:pStyle w:val="FirstParagraph"/>
      </w:pPr>
      <w:r>
        <w:rPr>
          <w:b/>
          <w:bCs/>
        </w:rPr>
        <w:t xml:space="preserve">Changing the insertion.</w:t>
      </w:r>
      <w:r>
        <w:t xml:space="preserve"> </w:t>
      </w:r>
      <w:r>
        <w:t xml:space="preserve">Only the donor plasmid needs to be rebuilt</w:t>
      </w:r>
      <w:r>
        <w:t xml:space="preserve"> </w:t>
      </w:r>
      <w:r>
        <w:t xml:space="preserve">to target a different insertion at the same ChrXIII locus: repeat the</w:t>
      </w:r>
      <w:r>
        <w:t xml:space="preserve"> </w:t>
      </w:r>
      <w:r>
        <w:t xml:space="preserve">Golden Gate assembly with a donor insert amplified using a new primer</w:t>
      </w:r>
      <w:r>
        <w:t xml:space="preserve"> </w:t>
      </w:r>
      <w:r>
        <w:t xml:space="preserve">set, and reuse the same CRISPR-Cas9 plasmid, which is locus-specific</w:t>
      </w:r>
      <w:r>
        <w:t xml:space="preserve"> </w:t>
      </w:r>
      <w:r>
        <w:t xml:space="preserve">rather than insertion-specific.</w:t>
      </w:r>
    </w:p>
    <w:p>
      <w:pPr>
        <w:pStyle w:val="BodyText"/>
      </w:pPr>
      <w:r>
        <w:t xml:space="preserve">⚠️ Forward-primer adapter sequences for the insertion fragment differ</w:t>
      </w:r>
      <w:r>
        <w:t xml:space="preserve"> </w:t>
      </w:r>
      <w:r>
        <w:t xml:space="preserve">between constitutive and inducible donor constructs. Consult current lab</w:t>
      </w:r>
      <w:r>
        <w:t xml:space="preserve"> </w:t>
      </w:r>
      <w:r>
        <w:t xml:space="preserve">plasmid records for the correct BbsI adapter sequences before ordering</w:t>
      </w:r>
      <w:r>
        <w:t xml:space="preserve"> </w:t>
      </w:r>
      <w:r>
        <w:t xml:space="preserve">primers — these are lab/construct-specific and easy to get wrong.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CRISPR-Cas9 knock-in at the ChrXIII Int8 locus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