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Archiving cultures at −80 °C</w:t>
      </w:r>
    </w:p>
    <w:p>
      <w:pPr>
        <w:pStyle w:val="FirstParagraph"/>
      </w:pPr>
      <w:r>
        <w:rPr>
          <w:i/>
          <w:iCs/>
        </w:rPr>
        <w:t xml:space="preserve">Adapted from the lab compendium Snowflake Yeast Protocols — Ratcliff Lab / MuLTEE (V2).</w:t>
      </w:r>
    </w:p>
    <w:bookmarkStart w:id="9" w:name="archiving-for-storage-in-80-c-freezer"/>
    <w:p>
      <w:pPr>
        <w:pStyle w:val="Heading2"/>
      </w:pPr>
      <w:r>
        <w:t xml:space="preserve">Archiving for storage in −80 °C freezer</w:t>
      </w:r>
    </w:p>
    <w:p>
      <w:pPr>
        <w:pStyle w:val="Compact"/>
        <w:numPr>
          <w:ilvl w:val="0"/>
          <w:numId w:val="1001"/>
        </w:numPr>
      </w:pPr>
      <w:r>
        <w:t xml:space="preserve">In a 1.5 mL tube, combine</w:t>
      </w:r>
      <w:r>
        <w:t xml:space="preserve"> </w:t>
      </w:r>
      <w:r>
        <w:rPr>
          <w:b/>
          <w:bCs/>
        </w:rPr>
        <w:t xml:space="preserve">750 μL culture</w:t>
      </w:r>
      <w:r>
        <w:t xml:space="preserve"> </w:t>
      </w:r>
      <w:r>
        <w:t xml:space="preserve">with</w:t>
      </w:r>
      <w:r>
        <w:t xml:space="preserve"> </w:t>
      </w:r>
      <w:r>
        <w:rPr>
          <w:b/>
          <w:bCs/>
        </w:rPr>
        <w:t xml:space="preserve">750 μL 70%</w:t>
      </w:r>
      <w:r>
        <w:rPr>
          <w:b/>
          <w:bCs/>
        </w:rPr>
        <w:t xml:space="preserve"> </w:t>
      </w:r>
      <w:r>
        <w:rPr>
          <w:b/>
          <w:bCs/>
        </w:rPr>
        <w:t xml:space="preserve">glycerol</w:t>
      </w:r>
      <w:r>
        <w:t xml:space="preserve"> </w:t>
      </w:r>
      <w:r>
        <w:t xml:space="preserve">(sterile), for a final glycerol concentration of 35%.</w:t>
      </w:r>
    </w:p>
    <w:p>
      <w:pPr>
        <w:pStyle w:val="Compact"/>
        <w:numPr>
          <w:ilvl w:val="0"/>
          <w:numId w:val="1001"/>
        </w:numPr>
      </w:pPr>
      <w:r>
        <w:t xml:space="preserve">Vortex at maximum speed (~3,000 rpm) briefly.</w:t>
      </w:r>
    </w:p>
    <w:p>
      <w:pPr>
        <w:pStyle w:val="Compact"/>
        <w:numPr>
          <w:ilvl w:val="0"/>
          <w:numId w:val="1001"/>
        </w:numPr>
      </w:pPr>
      <w:r>
        <w:t xml:space="preserve">Label the tube (population, treatment, timepoint/transfer number,</w:t>
      </w:r>
      <w:r>
        <w:t xml:space="preserve"> </w:t>
      </w:r>
      <w:r>
        <w:t xml:space="preserve">date) and transfer immediately to −80 °C.</w:t>
      </w:r>
    </w:p>
    <w:bookmarkEnd w:id="9"/>
    <w:sectPr w:rsidR="00005B5B"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sdtfl w16du wp14">
  <w:abstractNum w15:restartNumberingAfterBreak="0" w:abstractNumId="0">
    <w:nsid w:val="0000A990"/>
    <w:multiLevelType w:val="multilevel"/>
    <w:tmpl w:val="BBD8CD32"/>
    <w:lvl w:ilvl="0">
      <w:numFmt w:val="bullet"/>
      <w:lvlText w:val=" "/>
      <w:lvlJc w:val="left"/>
      <w:pPr>
        <w:ind w:hanging="480" w:left="720"/>
      </w:pPr>
    </w:lvl>
    <w:lvl w:ilvl="1">
      <w:numFmt w:val="bullet"/>
      <w:lvlText w:val=" "/>
      <w:lvlJc w:val="left"/>
      <w:pPr>
        <w:ind w:hanging="480" w:left="1440"/>
      </w:pPr>
    </w:lvl>
    <w:lvl w:ilvl="2">
      <w:numFmt w:val="bullet"/>
      <w:lvlText w:val=" "/>
      <w:lvlJc w:val="left"/>
      <w:pPr>
        <w:ind w:hanging="480" w:left="2160"/>
      </w:pPr>
    </w:lvl>
    <w:lvl w:ilvl="3">
      <w:numFmt w:val="bullet"/>
      <w:lvlText w:val=" "/>
      <w:lvlJc w:val="left"/>
      <w:pPr>
        <w:ind w:hanging="480" w:left="2880"/>
      </w:pPr>
    </w:lvl>
    <w:lvl w:ilvl="4">
      <w:numFmt w:val="bullet"/>
      <w:lvlText w:val=" "/>
      <w:lvlJc w:val="left"/>
      <w:pPr>
        <w:ind w:hanging="480" w:left="3600"/>
      </w:pPr>
    </w:lvl>
    <w:lvl w:ilvl="5">
      <w:numFmt w:val="bullet"/>
      <w:lvlText w:val=" "/>
      <w:lvlJc w:val="left"/>
      <w:pPr>
        <w:ind w:hanging="480" w:left="4320"/>
      </w:pPr>
    </w:lvl>
    <w:lvl w:ilvl="6">
      <w:numFmt w:val="bullet"/>
      <w:lvlText w:val=" "/>
      <w:lvlJc w:val="left"/>
      <w:pPr>
        <w:ind w:hanging="480" w:left="5040"/>
      </w:pPr>
    </w:lvl>
    <w:lvl w:ilvl="7">
      <w:numFmt w:val="bullet"/>
      <w:lvlText w:val=" "/>
      <w:lvlJc w:val="left"/>
      <w:pPr>
        <w:ind w:hanging="480" w:left="5760"/>
      </w:pPr>
    </w:lvl>
    <w:lvl w:ilvl="8">
      <w:numFmt w:val="bullet"/>
      <w:lvlText w:val=" "/>
      <w:lvlJc w:val="left"/>
      <w:pPr>
        <w:ind w:hanging="480" w:left="6480"/>
      </w:pPr>
    </w:lvl>
  </w:abstractNum>
  <w:abstractNum w15:restartNumberingAfterBreak="0" w:abstractNumId="1">
    <w:nsid w:val="0000A991"/>
    <w:multiLevelType w:val="multilevel"/>
    <w:tmpl w:val="4AC4B8C0"/>
    <w:lvl w:ilvl="0">
      <w:numFmt w:val="bullet"/>
      <w:lvlText w:val="•"/>
      <w:lvlJc w:val="left"/>
      <w:pPr>
        <w:ind w:hanging="480" w:left="720"/>
      </w:pPr>
    </w:lvl>
    <w:lvl w:ilvl="1">
      <w:numFmt w:val="bullet"/>
      <w:lvlText w:val="–"/>
      <w:lvlJc w:val="left"/>
      <w:pPr>
        <w:ind w:hanging="480" w:left="1440"/>
      </w:pPr>
    </w:lvl>
    <w:lvl w:ilvl="2">
      <w:numFmt w:val="bullet"/>
      <w:lvlText w:val="•"/>
      <w:lvlJc w:val="left"/>
      <w:pPr>
        <w:ind w:hanging="480" w:left="2160"/>
      </w:pPr>
    </w:lvl>
    <w:lvl w:ilvl="3">
      <w:numFmt w:val="bullet"/>
      <w:lvlText w:val="–"/>
      <w:lvlJc w:val="left"/>
      <w:pPr>
        <w:ind w:hanging="480" w:left="2880"/>
      </w:pPr>
    </w:lvl>
    <w:lvl w:ilvl="4">
      <w:numFmt w:val="bullet"/>
      <w:lvlText w:val="•"/>
      <w:lvlJc w:val="left"/>
      <w:pPr>
        <w:ind w:hanging="480" w:left="3600"/>
      </w:pPr>
    </w:lvl>
    <w:lvl w:ilvl="5">
      <w:numFmt w:val="bullet"/>
      <w:lvlText w:val="–"/>
      <w:lvlJc w:val="left"/>
      <w:pPr>
        <w:ind w:hanging="480" w:left="4320"/>
      </w:pPr>
    </w:lvl>
    <w:lvl w:ilvl="6">
      <w:numFmt w:val="bullet"/>
      <w:lvlText w:val="•"/>
      <w:lvlJc w:val="left"/>
      <w:pPr>
        <w:ind w:hanging="480" w:left="5040"/>
      </w:pPr>
    </w:lvl>
    <w:lvl w:ilvl="7">
      <w:numFmt w:val="bullet"/>
      <w:lvlText w:val="–"/>
      <w:lvlJc w:val="left"/>
      <w:pPr>
        <w:ind w:hanging="480" w:left="5760"/>
      </w:pPr>
    </w:lvl>
    <w:lvl w:ilvl="8">
      <w:numFmt w:val="bullet"/>
      <w:lvlText w:val="•"/>
      <w:lvlJc w:val="left"/>
      <w:pPr>
        <w:ind w:hanging="480" w:left="6480"/>
      </w:pPr>
    </w:lvl>
  </w:abstractNum>
  <w:abstractNum w15:restartNumberingAfterBreak="0" w:abstractNumId="2">
    <w:nsid w:val="00A99411"/>
    <w:multiLevelType w:val="multilevel"/>
    <w:tmpl w:val="B18CEF0C"/>
    <w:lvl w:ilvl="0">
      <w:start w:val="1"/>
      <w:numFmt w:val="decimal"/>
      <w:lvlText w:val="%1."/>
      <w:lvlJc w:val="left"/>
      <w:pPr>
        <w:ind w:hanging="480" w:left="720"/>
      </w:pPr>
    </w:lvl>
    <w:lvl w:ilvl="1">
      <w:start w:val="1"/>
      <w:numFmt w:val="decimal"/>
      <w:lvlText w:val="%2."/>
      <w:lvlJc w:val="left"/>
      <w:pPr>
        <w:ind w:hanging="480" w:left="1440"/>
      </w:pPr>
    </w:lvl>
    <w:lvl w:ilvl="2">
      <w:start w:val="1"/>
      <w:numFmt w:val="decimal"/>
      <w:lvlText w:val="%3."/>
      <w:lvlJc w:val="left"/>
      <w:pPr>
        <w:ind w:hanging="480" w:left="2160"/>
      </w:pPr>
    </w:lvl>
    <w:lvl w:ilvl="3">
      <w:start w:val="1"/>
      <w:numFmt w:val="decimal"/>
      <w:lvlText w:val="%4."/>
      <w:lvlJc w:val="left"/>
      <w:pPr>
        <w:ind w:hanging="480" w:left="2880"/>
      </w:pPr>
    </w:lvl>
    <w:lvl w:ilvl="4">
      <w:start w:val="1"/>
      <w:numFmt w:val="decimal"/>
      <w:lvlText w:val="%5."/>
      <w:lvlJc w:val="left"/>
      <w:pPr>
        <w:ind w:hanging="480" w:left="3600"/>
      </w:pPr>
    </w:lvl>
    <w:lvl w:ilvl="5">
      <w:start w:val="1"/>
      <w:numFmt w:val="decimal"/>
      <w:lvlText w:val="%6."/>
      <w:lvlJc w:val="left"/>
      <w:pPr>
        <w:ind w:hanging="480" w:left="4320"/>
      </w:pPr>
    </w:lvl>
    <w:lvl w:ilvl="6">
      <w:start w:val="1"/>
      <w:numFmt w:val="decimal"/>
      <w:lvlText w:val="%7."/>
      <w:lvlJc w:val="left"/>
      <w:pPr>
        <w:ind w:hanging="480" w:left="5040"/>
      </w:pPr>
    </w:lvl>
    <w:lvl w:ilvl="7">
      <w:start w:val="1"/>
      <w:numFmt w:val="decimal"/>
      <w:lvlText w:val="%8."/>
      <w:lvlJc w:val="left"/>
      <w:pPr>
        <w:ind w:hanging="480" w:left="5760"/>
      </w:pPr>
    </w:lvl>
    <w:lvl w:ilvl="8">
      <w:start w:val="1"/>
      <w:numFmt w:val="decimal"/>
      <w:lvlText w:val="%9."/>
      <w:lvlJc w:val="left"/>
      <w:pPr>
        <w:ind w:hanging="480" w:left="6480"/>
      </w:pPr>
    </w:lvl>
  </w:abstractNum>
  <w:abstractNum w15:restartNumberingAfterBreak="0" w:abstractNumId="3">
    <w:nsid w:val="00A99711"/>
    <w:multiLevelType w:val="multilevel"/>
    <w:tmpl w:val="F95844C0"/>
    <w:lvl w:ilvl="0">
      <w:start w:val="1"/>
      <w:numFmt w:val="lowerLetter"/>
      <w:lvlText w:val="%1."/>
      <w:lvlJc w:val="left"/>
      <w:pPr>
        <w:ind w:hanging="480" w:left="720"/>
      </w:pPr>
    </w:lvl>
    <w:lvl w:ilvl="1">
      <w:start w:val="1"/>
      <w:numFmt w:val="lowerLetter"/>
      <w:lvlText w:val="%2."/>
      <w:lvlJc w:val="left"/>
      <w:pPr>
        <w:ind w:hanging="480" w:left="1440"/>
      </w:pPr>
    </w:lvl>
    <w:lvl w:ilvl="2">
      <w:start w:val="1"/>
      <w:numFmt w:val="lowerLetter"/>
      <w:lvlText w:val="%3."/>
      <w:lvlJc w:val="left"/>
      <w:pPr>
        <w:ind w:hanging="480" w:left="2160"/>
      </w:pPr>
    </w:lvl>
    <w:lvl w:ilvl="3">
      <w:start w:val="1"/>
      <w:numFmt w:val="lowerLetter"/>
      <w:lvlText w:val="%4."/>
      <w:lvlJc w:val="left"/>
      <w:pPr>
        <w:ind w:hanging="480" w:left="2880"/>
      </w:pPr>
    </w:lvl>
    <w:lvl w:ilvl="4">
      <w:start w:val="1"/>
      <w:numFmt w:val="lowerLetter"/>
      <w:lvlText w:val="%5."/>
      <w:lvlJc w:val="left"/>
      <w:pPr>
        <w:ind w:hanging="480" w:left="3600"/>
      </w:pPr>
    </w:lvl>
    <w:lvl w:ilvl="5">
      <w:start w:val="1"/>
      <w:numFmt w:val="lowerLetter"/>
      <w:lvlText w:val="%6."/>
      <w:lvlJc w:val="left"/>
      <w:pPr>
        <w:ind w:hanging="480" w:left="4320"/>
      </w:pPr>
    </w:lvl>
    <w:lvl w:ilvl="6">
      <w:start w:val="1"/>
      <w:numFmt w:val="lowerLetter"/>
      <w:lvlText w:val="%7."/>
      <w:lvlJc w:val="left"/>
      <w:pPr>
        <w:ind w:hanging="480" w:left="5040"/>
      </w:pPr>
    </w:lvl>
    <w:lvl w:ilvl="7">
      <w:start w:val="1"/>
      <w:numFmt w:val="lowerLetter"/>
      <w:lvlText w:val="%8."/>
      <w:lvlJc w:val="left"/>
      <w:pPr>
        <w:ind w:hanging="480" w:left="5760"/>
      </w:pPr>
    </w:lvl>
    <w:lvl w:ilvl="8">
      <w:start w:val="1"/>
      <w:numFmt w:val="lowerLetter"/>
      <w:lvlText w:val="%9."/>
      <w:lvlJc w:val="left"/>
      <w:pPr>
        <w:ind w:hanging="480" w:left="648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2115323233" w:numId="1">
    <w:abstractNumId w:val="0"/>
  </w:num>
  <w:num w16cid:durableId="790510604"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522545223"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64674043"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87365464"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62971883"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03686373"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99311390"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892739433" w:numId="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23529752"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13653991" w:numId="11">
    <w:abstractNumId w:val="1"/>
  </w:num>
  <w:num w16cid:durableId="1379747768" w:numId="12">
    <w:abstractNumId w:val="1"/>
  </w:num>
  <w:num w16cid:durableId="822819252"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934901751"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637418280" w:numId="15">
    <w:abstractNumId w:val="1"/>
  </w:num>
  <w:num w16cid:durableId="1022323924"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078402671"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39064881"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608240568"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344164177" w:numId="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753433526" w:numId="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404453976" w:numId="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78259312" w:numId="2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1404453997"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16cid:durableId="776487338" w:numId="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05B5B"/>
    <w:rsid w:val="00005B5B"/>
    <w:rsid w:val="001519BC"/>
    <w:rsid w:val="00351B5A"/>
    <w:rsid w:val="00520B16"/>
    <w:rsid w:val="005417B3"/>
    <w:rsid w:val="008F24C2"/>
    <w:rsid w:val="00D21625"/>
    <w:rsid w:val="00F5649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1026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spacing w:before="240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qFormat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left="480" w:right="48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</w:tblPr>
      <w:trPr>
        <w:jc w:val="left"/>
      </w:trPr>
      <w:tcPr>
        <w:tcBorders>
          <w:bottom w:color="auto" w:space="0" w:sz="0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pPr>
      <w:spacing w:after="12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CaptionChar" w:type="character">
    <w:name w:val="Caption Char"/>
    <w:basedOn w:val="DefaultParagraphFont"/>
    <w:link w:val="Caption"/>
  </w:style>
  <w:style w:customStyle="1" w:styleId="VerbatimChar" w:type="character">
    <w:name w:val="Verbatim Char"/>
    <w:basedOn w:val="CaptionChar"/>
    <w:link w:val="SourceCode"/>
    <w:rPr>
      <w:rFonts w:ascii="Consolas" w:hAnsi="Consolas"/>
      <w:sz w:val="22"/>
    </w:rPr>
  </w:style>
  <w:style w:customStyle="1" w:styleId="SectionNumber" w:type="character">
    <w:name w:val="Section Number"/>
    <w:basedOn w:val="CaptionChar"/>
  </w:style>
  <w:style w:styleId="FootnoteReference" w:type="character">
    <w:name w:val="footnote reference"/>
    <w:basedOn w:val="CaptionChar"/>
    <w:rPr>
      <w:vertAlign w:val="superscript"/>
    </w:rPr>
  </w:style>
  <w:style w:styleId="Hyperlink" w:type="character">
    <w:name w:val="Hyperlink"/>
    <w:basedOn w:val="Caption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0"/>
    </w:pPr>
  </w:style>
  <w:style w:customStyle="1" w:styleId="KeywordTok" w:type="character">
    <w:name w:val="KeywordTok"/>
    <w:basedOn w:val="VerbatimChar"/>
    <w:rPr>
      <w:rFonts w:ascii="Consolas" w:hAnsi="Consolas"/>
      <w:b/>
      <w:color w:val="007020"/>
      <w:sz w:val="22"/>
    </w:rPr>
  </w:style>
  <w:style w:customStyle="1" w:styleId="DataTypeTok" w:type="character">
    <w:name w:val="DataTypeTok"/>
    <w:basedOn w:val="VerbatimChar"/>
    <w:rPr>
      <w:rFonts w:ascii="Consolas" w:hAnsi="Consolas"/>
      <w:color w:val="902000"/>
      <w:sz w:val="22"/>
    </w:rPr>
  </w:style>
  <w:style w:customStyle="1" w:styleId="DecValTok" w:type="character">
    <w:name w:val="DecValTok"/>
    <w:basedOn w:val="VerbatimChar"/>
    <w:rPr>
      <w:rFonts w:ascii="Consolas" w:hAnsi="Consolas"/>
      <w:color w:val="40A070"/>
      <w:sz w:val="22"/>
    </w:rPr>
  </w:style>
  <w:style w:customStyle="1" w:styleId="BaseNTok" w:type="character">
    <w:name w:val="BaseNTok"/>
    <w:basedOn w:val="VerbatimChar"/>
    <w:rPr>
      <w:rFonts w:ascii="Consolas" w:hAnsi="Consolas"/>
      <w:color w:val="40A070"/>
      <w:sz w:val="22"/>
    </w:rPr>
  </w:style>
  <w:style w:customStyle="1" w:styleId="FloatTok" w:type="character">
    <w:name w:val="FloatTok"/>
    <w:basedOn w:val="VerbatimChar"/>
    <w:rPr>
      <w:rFonts w:ascii="Consolas" w:hAnsi="Consolas"/>
      <w:color w:val="40A070"/>
      <w:sz w:val="22"/>
    </w:rPr>
  </w:style>
  <w:style w:customStyle="1" w:styleId="ConstantTok" w:type="character">
    <w:name w:val="ConstantTok"/>
    <w:basedOn w:val="VerbatimChar"/>
    <w:rPr>
      <w:rFonts w:ascii="Consolas" w:hAnsi="Consolas"/>
      <w:color w:val="880000"/>
      <w:sz w:val="22"/>
    </w:rPr>
  </w:style>
  <w:style w:customStyle="1" w:styleId="CharTok" w:type="character">
    <w:name w:val="CharTok"/>
    <w:basedOn w:val="VerbatimChar"/>
    <w:rPr>
      <w:rFonts w:ascii="Consolas" w:hAnsi="Consolas"/>
      <w:color w:val="4070A0"/>
      <w:sz w:val="22"/>
    </w:rPr>
  </w:style>
  <w:style w:customStyle="1" w:styleId="SpecialCharTok" w:type="character">
    <w:name w:val="SpecialCharTok"/>
    <w:basedOn w:val="VerbatimChar"/>
    <w:rPr>
      <w:rFonts w:ascii="Consolas" w:hAnsi="Consolas"/>
      <w:color w:val="4070A0"/>
      <w:sz w:val="22"/>
    </w:rPr>
  </w:style>
  <w:style w:customStyle="1" w:styleId="StringTok" w:type="character">
    <w:name w:val="StringTok"/>
    <w:basedOn w:val="VerbatimChar"/>
    <w:rPr>
      <w:rFonts w:ascii="Consolas" w:hAnsi="Consolas"/>
      <w:color w:val="4070A0"/>
      <w:sz w:val="22"/>
    </w:rPr>
  </w:style>
  <w:style w:customStyle="1" w:styleId="VerbatimStringTok" w:type="character">
    <w:name w:val="VerbatimStringTok"/>
    <w:basedOn w:val="VerbatimChar"/>
    <w:rPr>
      <w:rFonts w:ascii="Consolas" w:hAnsi="Consolas"/>
      <w:color w:val="4070A0"/>
      <w:sz w:val="22"/>
    </w:rPr>
  </w:style>
  <w:style w:customStyle="1" w:styleId="SpecialStringTok" w:type="character">
    <w:name w:val="SpecialStringTok"/>
    <w:basedOn w:val="VerbatimChar"/>
    <w:rPr>
      <w:rFonts w:ascii="Consolas" w:hAnsi="Consolas"/>
      <w:color w:val="BB6688"/>
      <w:sz w:val="22"/>
    </w:rPr>
  </w:style>
  <w:style w:customStyle="1" w:styleId="ImportTok" w:type="character">
    <w:name w:val="ImportTok"/>
    <w:basedOn w:val="VerbatimChar"/>
    <w:rPr>
      <w:rFonts w:ascii="Consolas" w:hAnsi="Consolas"/>
      <w:b/>
      <w:color w:val="008000"/>
      <w:sz w:val="22"/>
    </w:rPr>
  </w:style>
  <w:style w:customStyle="1" w:styleId="CommentTok" w:type="character">
    <w:name w:val="CommentTok"/>
    <w:basedOn w:val="VerbatimChar"/>
    <w:rPr>
      <w:rFonts w:ascii="Consolas" w:hAnsi="Consolas"/>
      <w:i/>
      <w:color w:val="60A0B0"/>
      <w:sz w:val="22"/>
    </w:rPr>
  </w:style>
  <w:style w:customStyle="1" w:styleId="DocumentationTok" w:type="character">
    <w:name w:val="DocumentationTok"/>
    <w:basedOn w:val="VerbatimChar"/>
    <w:rPr>
      <w:rFonts w:ascii="Consolas" w:hAnsi="Consolas"/>
      <w:i/>
      <w:color w:val="BA2121"/>
      <w:sz w:val="22"/>
    </w:rPr>
  </w:style>
  <w:style w:customStyle="1" w:styleId="AnnotationTok" w:type="character">
    <w:name w:val="AnnotationTok"/>
    <w:basedOn w:val="VerbatimChar"/>
    <w:rPr>
      <w:rFonts w:ascii="Consolas" w:hAnsi="Consolas"/>
      <w:b/>
      <w:i/>
      <w:color w:val="60A0B0"/>
      <w:sz w:val="22"/>
    </w:rPr>
  </w:style>
  <w:style w:customStyle="1" w:styleId="CommentVarTok" w:type="character">
    <w:name w:val="CommentVarTok"/>
    <w:basedOn w:val="VerbatimChar"/>
    <w:rPr>
      <w:rFonts w:ascii="Consolas" w:hAnsi="Consolas"/>
      <w:b/>
      <w:i/>
      <w:color w:val="60A0B0"/>
      <w:sz w:val="22"/>
    </w:rPr>
  </w:style>
  <w:style w:customStyle="1" w:styleId="OtherTok" w:type="character">
    <w:name w:val="OtherTok"/>
    <w:basedOn w:val="VerbatimChar"/>
    <w:rPr>
      <w:rFonts w:ascii="Consolas" w:hAnsi="Consolas"/>
      <w:color w:val="007020"/>
      <w:sz w:val="22"/>
    </w:rPr>
  </w:style>
  <w:style w:customStyle="1" w:styleId="FunctionTok" w:type="character">
    <w:name w:val="FunctionTok"/>
    <w:basedOn w:val="VerbatimChar"/>
    <w:rPr>
      <w:rFonts w:ascii="Consolas" w:hAnsi="Consolas"/>
      <w:color w:val="06287E"/>
      <w:sz w:val="22"/>
    </w:rPr>
  </w:style>
  <w:style w:customStyle="1" w:styleId="VariableTok" w:type="character">
    <w:name w:val="VariableTok"/>
    <w:basedOn w:val="VerbatimChar"/>
    <w:rPr>
      <w:rFonts w:ascii="Consolas" w:hAnsi="Consolas"/>
      <w:color w:val="19177C"/>
      <w:sz w:val="22"/>
    </w:rPr>
  </w:style>
  <w:style w:customStyle="1" w:styleId="ControlFlowTok" w:type="character">
    <w:name w:val="ControlFlowTok"/>
    <w:basedOn w:val="VerbatimChar"/>
    <w:rPr>
      <w:rFonts w:ascii="Consolas" w:hAnsi="Consolas"/>
      <w:b/>
      <w:color w:val="007020"/>
      <w:sz w:val="22"/>
    </w:rPr>
  </w:style>
  <w:style w:customStyle="1" w:styleId="OperatorTok" w:type="character">
    <w:name w:val="OperatorTok"/>
    <w:basedOn w:val="VerbatimChar"/>
    <w:rPr>
      <w:rFonts w:ascii="Consolas" w:hAnsi="Consolas"/>
      <w:color w:val="666666"/>
      <w:sz w:val="22"/>
    </w:rPr>
  </w:style>
  <w:style w:customStyle="1" w:styleId="BuiltInTok" w:type="character">
    <w:name w:val="BuiltInTok"/>
    <w:basedOn w:val="VerbatimChar"/>
    <w:rPr>
      <w:rFonts w:ascii="Consolas" w:hAnsi="Consolas"/>
      <w:color w:val="008000"/>
      <w:sz w:val="22"/>
    </w:rPr>
  </w:style>
  <w:style w:customStyle="1" w:styleId="ExtensionTok" w:type="character">
    <w:name w:val="ExtensionTok"/>
    <w:basedOn w:val="VerbatimChar"/>
    <w:rPr>
      <w:rFonts w:ascii="Consolas" w:hAnsi="Consolas"/>
      <w:sz w:val="22"/>
    </w:rPr>
  </w:style>
  <w:style w:customStyle="1" w:styleId="PreprocessorTok" w:type="character">
    <w:name w:val="PreprocessorTok"/>
    <w:basedOn w:val="VerbatimChar"/>
    <w:rPr>
      <w:rFonts w:ascii="Consolas" w:hAnsi="Consolas"/>
      <w:color w:val="BC7A00"/>
      <w:sz w:val="22"/>
    </w:rPr>
  </w:style>
  <w:style w:customStyle="1" w:styleId="AttributeTok" w:type="character">
    <w:name w:val="AttributeTok"/>
    <w:basedOn w:val="VerbatimChar"/>
    <w:rPr>
      <w:rFonts w:ascii="Consolas" w:hAnsi="Consolas"/>
      <w:color w:val="7D9029"/>
      <w:sz w:val="22"/>
    </w:rPr>
  </w:style>
  <w:style w:customStyle="1" w:styleId="RegionMarkerTok" w:type="character">
    <w:name w:val="RegionMarkerTok"/>
    <w:basedOn w:val="VerbatimChar"/>
    <w:rPr>
      <w:rFonts w:ascii="Consolas" w:hAnsi="Consolas"/>
      <w:sz w:val="22"/>
    </w:rPr>
  </w:style>
  <w:style w:customStyle="1" w:styleId="InformationTok" w:type="character">
    <w:name w:val="InformationTok"/>
    <w:basedOn w:val="VerbatimChar"/>
    <w:rPr>
      <w:rFonts w:ascii="Consolas" w:hAnsi="Consolas"/>
      <w:b/>
      <w:i/>
      <w:color w:val="60A0B0"/>
      <w:sz w:val="22"/>
    </w:rPr>
  </w:style>
  <w:style w:customStyle="1" w:styleId="WarningTok" w:type="character">
    <w:name w:val="WarningTok"/>
    <w:basedOn w:val="VerbatimChar"/>
    <w:rPr>
      <w:rFonts w:ascii="Consolas" w:hAnsi="Consolas"/>
      <w:b/>
      <w:i/>
      <w:color w:val="60A0B0"/>
      <w:sz w:val="22"/>
    </w:rPr>
  </w:style>
  <w:style w:customStyle="1" w:styleId="AlertTok" w:type="character">
    <w:name w:val="AlertTok"/>
    <w:basedOn w:val="VerbatimChar"/>
    <w:rPr>
      <w:rFonts w:ascii="Consolas" w:hAnsi="Consolas"/>
      <w:b/>
      <w:color w:val="FF0000"/>
      <w:sz w:val="22"/>
    </w:rPr>
  </w:style>
  <w:style w:customStyle="1" w:styleId="ErrorTok" w:type="character">
    <w:name w:val="ErrorTok"/>
    <w:basedOn w:val="VerbatimChar"/>
    <w:rPr>
      <w:rFonts w:ascii="Consolas" w:hAnsi="Consolas"/>
      <w:b/>
      <w:color w:val="FF0000"/>
      <w:sz w:val="22"/>
    </w:rPr>
  </w:style>
  <w:style w:customStyle="1" w:styleId="NormalTok" w:type="character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8</Pages>
  <Words>2472</Words>
  <Characters>14095</Characters>
  <Application>Microsoft Office Word</Application>
  <DocSecurity>0</DocSecurity>
  <Lines>117</Lines>
  <Paragraphs>33</Paragraphs>
  <ScaleCrop>false</ScaleCrop>
  <Company/>
  <LinksUpToDate>false</LinksUpToDate>
  <CharactersWithSpaces>16534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Archiving cultures at −80 °C</dc:title>
  <dc:creator/>
  <cp:keywords/>
  <dcterms:created xsi:type="dcterms:W3CDTF">2026-09-01T00:00:00Z</dcterms:created>
  <dcterms:modified xsi:type="dcterms:W3CDTF">2026-09-01T00:00:00Z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